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Default="00792776" w:rsidP="00240779">
      <w:pPr>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3E585E">
        <w:rPr>
          <w:rFonts w:ascii="Palatino Linotype" w:eastAsia="MS Mincho" w:hAnsi="Palatino Linotype" w:cs="Times New Roman"/>
          <w:b/>
          <w:sz w:val="24"/>
          <w:szCs w:val="24"/>
          <w:lang w:val="es-ES_tradnl" w:eastAsia="es-ES"/>
        </w:rPr>
        <w:t>LÍNEAS ARGUMENTATIVAS.</w:t>
      </w:r>
    </w:p>
    <w:p w:rsidR="00240779" w:rsidRDefault="00240779" w:rsidP="00240779">
      <w:pPr>
        <w:spacing w:after="0" w:line="360" w:lineRule="auto"/>
        <w:jc w:val="center"/>
        <w:rPr>
          <w:rFonts w:ascii="Palatino Linotype" w:eastAsia="MS Mincho" w:hAnsi="Palatino Linotype" w:cs="Times New Roman"/>
          <w:b/>
          <w:sz w:val="24"/>
          <w:szCs w:val="24"/>
          <w:lang w:val="es-ES_tradnl" w:eastAsia="es-ES"/>
        </w:rPr>
      </w:pPr>
    </w:p>
    <w:p w:rsidR="005D1CFC" w:rsidRDefault="00202E6A" w:rsidP="00D95A22">
      <w:pPr>
        <w:spacing w:after="0" w:line="360" w:lineRule="auto"/>
        <w:jc w:val="both"/>
        <w:rPr>
          <w:rFonts w:ascii="Palatino Linotype" w:eastAsia="Arial Unicode MS" w:hAnsi="Palatino Linotype" w:cs="Arial"/>
          <w:sz w:val="24"/>
          <w:szCs w:val="24"/>
          <w:lang w:val="es-ES_tradnl" w:eastAsia="es-ES"/>
        </w:rPr>
      </w:pPr>
      <w:r w:rsidRPr="003E585E">
        <w:rPr>
          <w:rFonts w:ascii="Palatino Linotype" w:eastAsia="Arial Unicode MS" w:hAnsi="Palatino Linotype" w:cs="Arial"/>
          <w:b/>
          <w:sz w:val="24"/>
          <w:szCs w:val="24"/>
          <w:lang w:val="es-ES_tradnl" w:eastAsia="es-ES"/>
        </w:rPr>
        <w:t>DEBERES DE LAS AUTORIDADES</w:t>
      </w:r>
      <w:r w:rsidRPr="003E585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Pr>
          <w:rFonts w:ascii="Palatino Linotype" w:eastAsia="Arial Unicode MS" w:hAnsi="Palatino Linotype" w:cs="Arial"/>
          <w:sz w:val="24"/>
          <w:szCs w:val="24"/>
          <w:lang w:val="es-ES_tradnl" w:eastAsia="es-ES"/>
        </w:rPr>
        <w:t>. T</w:t>
      </w:r>
      <w:r w:rsidRPr="003E585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D21751" w:rsidRDefault="00D21751" w:rsidP="00D95A22">
      <w:pPr>
        <w:spacing w:after="0" w:line="360" w:lineRule="auto"/>
        <w:jc w:val="both"/>
        <w:rPr>
          <w:rFonts w:ascii="Palatino Linotype" w:eastAsia="Arial Unicode MS" w:hAnsi="Palatino Linotype" w:cs="Arial"/>
          <w:sz w:val="24"/>
          <w:szCs w:val="24"/>
          <w:lang w:val="es-ES_tradnl" w:eastAsia="es-ES"/>
        </w:rPr>
      </w:pPr>
    </w:p>
    <w:p w:rsidR="006869D2" w:rsidRDefault="00202E6A" w:rsidP="00D95A22">
      <w:pPr>
        <w:spacing w:after="0" w:line="360" w:lineRule="auto"/>
        <w:jc w:val="both"/>
        <w:rPr>
          <w:rFonts w:ascii="Palatino Linotype" w:eastAsia="Calibri" w:hAnsi="Palatino Linotype" w:cs="Times New Roman"/>
          <w:sz w:val="24"/>
          <w:szCs w:val="24"/>
          <w:lang w:val="es-ES_tradnl" w:eastAsia="es-ES"/>
        </w:rPr>
      </w:pPr>
      <w:r w:rsidRPr="003E585E">
        <w:rPr>
          <w:rFonts w:ascii="Palatino Linotype" w:eastAsia="Calibri" w:hAnsi="Palatino Linotype" w:cs="Times New Roman"/>
          <w:b/>
          <w:sz w:val="24"/>
          <w:szCs w:val="24"/>
          <w:lang w:val="es-ES_tradnl" w:eastAsia="es-ES"/>
        </w:rPr>
        <w:t>DE LA GARANTÍA DE PROPORCIONAR LA INFORMACIÓN PÚBLICA GUBERNAMENTAL.</w:t>
      </w:r>
      <w:r w:rsidRPr="003E585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6869D2" w:rsidRDefault="006869D2" w:rsidP="00D95A22">
      <w:pPr>
        <w:spacing w:after="0" w:line="360" w:lineRule="auto"/>
        <w:jc w:val="both"/>
        <w:rPr>
          <w:rFonts w:ascii="Palatino Linotype" w:eastAsia="Calibri" w:hAnsi="Palatino Linotype" w:cs="Times New Roman"/>
          <w:sz w:val="24"/>
          <w:szCs w:val="24"/>
          <w:lang w:val="es-ES_tradnl" w:eastAsia="es-ES"/>
        </w:rPr>
      </w:pPr>
    </w:p>
    <w:p w:rsidR="006869D2" w:rsidRPr="00240779" w:rsidRDefault="006869D2" w:rsidP="006869D2">
      <w:pPr>
        <w:spacing w:line="360" w:lineRule="auto"/>
        <w:jc w:val="both"/>
        <w:rPr>
          <w:rFonts w:ascii="Palatino Linotype" w:eastAsia="Arial Unicode MS" w:hAnsi="Palatino Linotype" w:cs="Arial"/>
          <w:sz w:val="24"/>
          <w:szCs w:val="24"/>
          <w:bdr w:val="nil"/>
        </w:rPr>
      </w:pPr>
      <w:r w:rsidRPr="006869D2">
        <w:rPr>
          <w:rFonts w:ascii="Palatino Linotype" w:eastAsia="Calibri" w:hAnsi="Palatino Linotype" w:cs="Times New Roman"/>
          <w:b/>
          <w:sz w:val="24"/>
          <w:szCs w:val="24"/>
          <w:lang w:val="es-ES_tradnl" w:eastAsia="es-ES"/>
        </w:rPr>
        <w:t xml:space="preserve">DE </w:t>
      </w:r>
      <w:r>
        <w:rPr>
          <w:rFonts w:ascii="Palatino Linotype" w:eastAsia="Calibri" w:hAnsi="Palatino Linotype" w:cs="Times New Roman"/>
          <w:b/>
          <w:sz w:val="24"/>
          <w:szCs w:val="24"/>
          <w:lang w:val="es-ES_tradnl" w:eastAsia="es-ES"/>
        </w:rPr>
        <w:t>LA CLASIFICACIÓN DE LA INFORMACIÓN COMO RESERVADA</w:t>
      </w:r>
      <w:r>
        <w:rPr>
          <w:rFonts w:ascii="Palatino Linotype" w:eastAsia="Calibri" w:hAnsi="Palatino Linotype" w:cs="Times New Roman"/>
          <w:sz w:val="24"/>
          <w:szCs w:val="24"/>
          <w:lang w:val="es-ES_tradnl" w:eastAsia="es-ES"/>
        </w:rPr>
        <w:t xml:space="preserve">. </w:t>
      </w:r>
      <w:r w:rsidRPr="006869D2">
        <w:rPr>
          <w:rFonts w:ascii="Palatino Linotype" w:eastAsia="Arial Unicode MS" w:hAnsi="Palatino Linotype" w:cs="Arial"/>
          <w:sz w:val="24"/>
          <w:szCs w:val="24"/>
          <w:bdr w:val="nil"/>
        </w:rPr>
        <w:t xml:space="preserve">Para que el </w:t>
      </w:r>
      <w:r w:rsidRPr="006869D2">
        <w:rPr>
          <w:rFonts w:ascii="Palatino Linotype" w:eastAsia="Arial Unicode MS" w:hAnsi="Palatino Linotype" w:cs="Arial"/>
          <w:b/>
          <w:sz w:val="24"/>
          <w:szCs w:val="24"/>
          <w:bdr w:val="nil"/>
        </w:rPr>
        <w:t>SUJETO OBLIGADO</w:t>
      </w:r>
      <w:r w:rsidRPr="006869D2">
        <w:rPr>
          <w:rFonts w:ascii="Palatino Linotype" w:eastAsia="Arial Unicode MS" w:hAnsi="Palatino Linotype" w:cs="Arial"/>
          <w:sz w:val="24"/>
          <w:szCs w:val="24"/>
          <w:bdr w:val="nil"/>
        </w:rPr>
        <w:t xml:space="preserve">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r w:rsidRPr="006869D2">
        <w:rPr>
          <w:rFonts w:ascii="Palatino Linotype" w:hAnsi="Palatino Linotype" w:cs="Arial"/>
          <w:sz w:val="24"/>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792776" w:rsidRPr="003E585E" w:rsidRDefault="00792776" w:rsidP="00240779">
      <w:pPr>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lang w:val="es-ES" w:eastAsia="en-US"/>
        </w:rPr>
        <w:id w:val="-1797436068"/>
        <w:docPartObj>
          <w:docPartGallery w:val="Table of Contents"/>
          <w:docPartUnique/>
        </w:docPartObj>
      </w:sdtPr>
      <w:sdtEndPr>
        <w:rPr>
          <w:b/>
          <w:bCs/>
        </w:rPr>
      </w:sdtEndPr>
      <w:sdtContent>
        <w:p w:rsidR="00B85136" w:rsidRDefault="00B85136" w:rsidP="00D95A22">
          <w:pPr>
            <w:pStyle w:val="TtulodeTDC"/>
            <w:spacing w:line="360" w:lineRule="auto"/>
          </w:pPr>
          <w:r>
            <w:rPr>
              <w:lang w:val="es-ES"/>
            </w:rPr>
            <w:t>Contenido</w:t>
          </w:r>
        </w:p>
        <w:p w:rsidR="00B85136" w:rsidRPr="00D83C6F" w:rsidRDefault="00B85136" w:rsidP="00D95A22">
          <w:pPr>
            <w:pStyle w:val="TDC1"/>
            <w:rPr>
              <w:rFonts w:ascii="Palatino Linotype" w:eastAsiaTheme="minorEastAsia" w:hAnsi="Palatino Linotype"/>
              <w:b/>
              <w:noProof/>
              <w:sz w:val="24"/>
              <w:szCs w:val="24"/>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525814121" w:history="1">
            <w:r w:rsidRPr="00D83C6F">
              <w:rPr>
                <w:rStyle w:val="Hipervnculo"/>
                <w:rFonts w:ascii="Palatino Linotype" w:eastAsia="MS Gothic" w:hAnsi="Palatino Linotype" w:cs="Times New Roman"/>
                <w:b/>
                <w:noProof/>
                <w:sz w:val="24"/>
                <w:szCs w:val="24"/>
              </w:rPr>
              <w:t>A N T E C E D E N T E S</w:t>
            </w:r>
            <w:r w:rsidRPr="00D83C6F">
              <w:rPr>
                <w:rFonts w:ascii="Palatino Linotype" w:hAnsi="Palatino Linotype"/>
                <w:b/>
                <w:noProof/>
                <w:webHidden/>
                <w:sz w:val="24"/>
                <w:szCs w:val="24"/>
              </w:rPr>
              <w:tab/>
            </w:r>
            <w:r w:rsidRPr="00D83C6F">
              <w:rPr>
                <w:rFonts w:ascii="Palatino Linotype" w:hAnsi="Palatino Linotype"/>
                <w:b/>
                <w:noProof/>
                <w:webHidden/>
                <w:sz w:val="24"/>
                <w:szCs w:val="24"/>
              </w:rPr>
              <w:fldChar w:fldCharType="begin"/>
            </w:r>
            <w:r w:rsidRPr="00D83C6F">
              <w:rPr>
                <w:rFonts w:ascii="Palatino Linotype" w:hAnsi="Palatino Linotype"/>
                <w:b/>
                <w:noProof/>
                <w:webHidden/>
                <w:sz w:val="24"/>
                <w:szCs w:val="24"/>
              </w:rPr>
              <w:instrText xml:space="preserve"> PAGEREF _Toc525814121 \h </w:instrText>
            </w:r>
            <w:r w:rsidRPr="00D83C6F">
              <w:rPr>
                <w:rFonts w:ascii="Palatino Linotype" w:hAnsi="Palatino Linotype"/>
                <w:b/>
                <w:noProof/>
                <w:webHidden/>
                <w:sz w:val="24"/>
                <w:szCs w:val="24"/>
              </w:rPr>
            </w:r>
            <w:r w:rsidRPr="00D83C6F">
              <w:rPr>
                <w:rFonts w:ascii="Palatino Linotype" w:hAnsi="Palatino Linotype"/>
                <w:b/>
                <w:noProof/>
                <w:webHidden/>
                <w:sz w:val="24"/>
                <w:szCs w:val="24"/>
              </w:rPr>
              <w:fldChar w:fldCharType="separate"/>
            </w:r>
            <w:r w:rsidR="00240779">
              <w:rPr>
                <w:rFonts w:ascii="Palatino Linotype" w:hAnsi="Palatino Linotype"/>
                <w:b/>
                <w:noProof/>
                <w:webHidden/>
                <w:sz w:val="24"/>
                <w:szCs w:val="24"/>
              </w:rPr>
              <w:t>3</w:t>
            </w:r>
            <w:r w:rsidRPr="00D83C6F">
              <w:rPr>
                <w:rFonts w:ascii="Palatino Linotype" w:hAnsi="Palatino Linotype"/>
                <w:b/>
                <w:noProof/>
                <w:webHidden/>
                <w:sz w:val="24"/>
                <w:szCs w:val="24"/>
              </w:rPr>
              <w:fldChar w:fldCharType="end"/>
            </w:r>
          </w:hyperlink>
        </w:p>
        <w:p w:rsidR="00B85136" w:rsidRPr="00D83C6F" w:rsidRDefault="009338C5" w:rsidP="00D95A22">
          <w:pPr>
            <w:pStyle w:val="TDC1"/>
            <w:rPr>
              <w:rFonts w:ascii="Palatino Linotype" w:eastAsiaTheme="minorEastAsia" w:hAnsi="Palatino Linotype"/>
              <w:b/>
              <w:noProof/>
              <w:sz w:val="24"/>
              <w:szCs w:val="24"/>
              <w:lang w:eastAsia="es-MX"/>
            </w:rPr>
          </w:pPr>
          <w:hyperlink w:anchor="_Toc525814122" w:history="1">
            <w:r w:rsidR="00B85136" w:rsidRPr="00D83C6F">
              <w:rPr>
                <w:rStyle w:val="Hipervnculo"/>
                <w:rFonts w:ascii="Palatino Linotype" w:eastAsia="MS Gothic" w:hAnsi="Palatino Linotype" w:cs="Times New Roman"/>
                <w:b/>
                <w:noProof/>
                <w:sz w:val="24"/>
                <w:szCs w:val="24"/>
              </w:rPr>
              <w:t>CONSIDERANDO</w:t>
            </w:r>
            <w:r w:rsidR="00B85136" w:rsidRPr="00D83C6F">
              <w:rPr>
                <w:rFonts w:ascii="Palatino Linotype" w:hAnsi="Palatino Linotype"/>
                <w:b/>
                <w:noProof/>
                <w:webHidden/>
                <w:sz w:val="24"/>
                <w:szCs w:val="24"/>
              </w:rPr>
              <w:tab/>
            </w:r>
            <w:r w:rsidR="00B85136" w:rsidRPr="00D83C6F">
              <w:rPr>
                <w:rFonts w:ascii="Palatino Linotype" w:hAnsi="Palatino Linotype"/>
                <w:b/>
                <w:noProof/>
                <w:webHidden/>
                <w:sz w:val="24"/>
                <w:szCs w:val="24"/>
              </w:rPr>
              <w:fldChar w:fldCharType="begin"/>
            </w:r>
            <w:r w:rsidR="00B85136" w:rsidRPr="00D83C6F">
              <w:rPr>
                <w:rFonts w:ascii="Palatino Linotype" w:hAnsi="Palatino Linotype"/>
                <w:b/>
                <w:noProof/>
                <w:webHidden/>
                <w:sz w:val="24"/>
                <w:szCs w:val="24"/>
              </w:rPr>
              <w:instrText xml:space="preserve"> PAGEREF _Toc525814122 \h </w:instrText>
            </w:r>
            <w:r w:rsidR="00B85136" w:rsidRPr="00D83C6F">
              <w:rPr>
                <w:rFonts w:ascii="Palatino Linotype" w:hAnsi="Palatino Linotype"/>
                <w:b/>
                <w:noProof/>
                <w:webHidden/>
                <w:sz w:val="24"/>
                <w:szCs w:val="24"/>
              </w:rPr>
            </w:r>
            <w:r w:rsidR="00B85136" w:rsidRPr="00D83C6F">
              <w:rPr>
                <w:rFonts w:ascii="Palatino Linotype" w:hAnsi="Palatino Linotype"/>
                <w:b/>
                <w:noProof/>
                <w:webHidden/>
                <w:sz w:val="24"/>
                <w:szCs w:val="24"/>
              </w:rPr>
              <w:fldChar w:fldCharType="separate"/>
            </w:r>
            <w:r w:rsidR="00240779">
              <w:rPr>
                <w:rFonts w:ascii="Palatino Linotype" w:hAnsi="Palatino Linotype"/>
                <w:b/>
                <w:noProof/>
                <w:webHidden/>
                <w:sz w:val="24"/>
                <w:szCs w:val="24"/>
              </w:rPr>
              <w:t>26</w:t>
            </w:r>
            <w:r w:rsidR="00B85136" w:rsidRPr="00D83C6F">
              <w:rPr>
                <w:rFonts w:ascii="Palatino Linotype" w:hAnsi="Palatino Linotype"/>
                <w:b/>
                <w:noProof/>
                <w:webHidden/>
                <w:sz w:val="24"/>
                <w:szCs w:val="24"/>
              </w:rPr>
              <w:fldChar w:fldCharType="end"/>
            </w:r>
          </w:hyperlink>
        </w:p>
        <w:p w:rsidR="00B85136" w:rsidRPr="00D83C6F" w:rsidRDefault="009338C5" w:rsidP="00D95A22">
          <w:pPr>
            <w:pStyle w:val="TDC1"/>
            <w:rPr>
              <w:rFonts w:ascii="Palatino Linotype" w:eastAsiaTheme="minorEastAsia" w:hAnsi="Palatino Linotype"/>
              <w:b/>
              <w:noProof/>
              <w:sz w:val="24"/>
              <w:szCs w:val="24"/>
              <w:lang w:eastAsia="es-MX"/>
            </w:rPr>
          </w:pPr>
          <w:hyperlink w:anchor="_Toc525814123" w:history="1">
            <w:r w:rsidR="00B85136" w:rsidRPr="00D83C6F">
              <w:rPr>
                <w:rStyle w:val="Hipervnculo"/>
                <w:rFonts w:ascii="Palatino Linotype" w:eastAsia="MS Mincho" w:hAnsi="Palatino Linotype" w:cstheme="majorBidi"/>
                <w:b/>
                <w:noProof/>
                <w:sz w:val="24"/>
                <w:szCs w:val="24"/>
                <w:lang w:val="es-ES_tradnl" w:eastAsia="es-ES"/>
              </w:rPr>
              <w:t>PRIMERO</w:t>
            </w:r>
            <w:r w:rsidR="00B85136" w:rsidRPr="00D83C6F">
              <w:rPr>
                <w:rStyle w:val="Hipervnculo"/>
                <w:rFonts w:ascii="Palatino Linotype" w:eastAsia="MS Gothic" w:hAnsi="Palatino Linotype" w:cs="Times New Roman"/>
                <w:b/>
                <w:noProof/>
                <w:sz w:val="24"/>
                <w:szCs w:val="24"/>
              </w:rPr>
              <w:t>. De la competencia.</w:t>
            </w:r>
            <w:r w:rsidR="00B85136" w:rsidRPr="00D83C6F">
              <w:rPr>
                <w:rFonts w:ascii="Palatino Linotype" w:hAnsi="Palatino Linotype"/>
                <w:b/>
                <w:noProof/>
                <w:webHidden/>
                <w:sz w:val="24"/>
                <w:szCs w:val="24"/>
              </w:rPr>
              <w:tab/>
            </w:r>
            <w:r w:rsidR="00B85136" w:rsidRPr="00D83C6F">
              <w:rPr>
                <w:rFonts w:ascii="Palatino Linotype" w:hAnsi="Palatino Linotype"/>
                <w:b/>
                <w:noProof/>
                <w:webHidden/>
                <w:sz w:val="24"/>
                <w:szCs w:val="24"/>
              </w:rPr>
              <w:fldChar w:fldCharType="begin"/>
            </w:r>
            <w:r w:rsidR="00B85136" w:rsidRPr="00D83C6F">
              <w:rPr>
                <w:rFonts w:ascii="Palatino Linotype" w:hAnsi="Palatino Linotype"/>
                <w:b/>
                <w:noProof/>
                <w:webHidden/>
                <w:sz w:val="24"/>
                <w:szCs w:val="24"/>
              </w:rPr>
              <w:instrText xml:space="preserve"> PAGEREF _Toc525814123 \h </w:instrText>
            </w:r>
            <w:r w:rsidR="00B85136" w:rsidRPr="00D83C6F">
              <w:rPr>
                <w:rFonts w:ascii="Palatino Linotype" w:hAnsi="Palatino Linotype"/>
                <w:b/>
                <w:noProof/>
                <w:webHidden/>
                <w:sz w:val="24"/>
                <w:szCs w:val="24"/>
              </w:rPr>
            </w:r>
            <w:r w:rsidR="00B85136" w:rsidRPr="00D83C6F">
              <w:rPr>
                <w:rFonts w:ascii="Palatino Linotype" w:hAnsi="Palatino Linotype"/>
                <w:b/>
                <w:noProof/>
                <w:webHidden/>
                <w:sz w:val="24"/>
                <w:szCs w:val="24"/>
              </w:rPr>
              <w:fldChar w:fldCharType="separate"/>
            </w:r>
            <w:r w:rsidR="00240779">
              <w:rPr>
                <w:rFonts w:ascii="Palatino Linotype" w:hAnsi="Palatino Linotype"/>
                <w:b/>
                <w:noProof/>
                <w:webHidden/>
                <w:sz w:val="24"/>
                <w:szCs w:val="24"/>
              </w:rPr>
              <w:t>26</w:t>
            </w:r>
            <w:r w:rsidR="00B85136" w:rsidRPr="00D83C6F">
              <w:rPr>
                <w:rFonts w:ascii="Palatino Linotype" w:hAnsi="Palatino Linotype"/>
                <w:b/>
                <w:noProof/>
                <w:webHidden/>
                <w:sz w:val="24"/>
                <w:szCs w:val="24"/>
              </w:rPr>
              <w:fldChar w:fldCharType="end"/>
            </w:r>
          </w:hyperlink>
        </w:p>
        <w:p w:rsidR="00B85136" w:rsidRPr="00D83C6F" w:rsidRDefault="009338C5" w:rsidP="00D95A22">
          <w:pPr>
            <w:pStyle w:val="TDC1"/>
            <w:rPr>
              <w:rFonts w:ascii="Palatino Linotype" w:hAnsi="Palatino Linotype"/>
              <w:b/>
              <w:noProof/>
              <w:sz w:val="24"/>
              <w:szCs w:val="24"/>
            </w:rPr>
          </w:pPr>
          <w:hyperlink w:anchor="_Toc525814124" w:history="1">
            <w:r w:rsidR="00B85136" w:rsidRPr="00D83C6F">
              <w:rPr>
                <w:rStyle w:val="Hipervnculo"/>
                <w:rFonts w:ascii="Palatino Linotype" w:eastAsia="MS Mincho" w:hAnsi="Palatino Linotype" w:cstheme="majorBidi"/>
                <w:b/>
                <w:noProof/>
                <w:sz w:val="24"/>
                <w:szCs w:val="24"/>
                <w:lang w:val="es-ES_tradnl" w:eastAsia="es-ES"/>
              </w:rPr>
              <w:t>SEGUNDO</w:t>
            </w:r>
            <w:r w:rsidR="00B85136" w:rsidRPr="00D83C6F">
              <w:rPr>
                <w:rStyle w:val="Hipervnculo"/>
                <w:rFonts w:ascii="Palatino Linotype" w:eastAsia="MS Gothic" w:hAnsi="Palatino Linotype" w:cs="Times New Roman"/>
                <w:b/>
                <w:noProof/>
                <w:sz w:val="24"/>
                <w:szCs w:val="24"/>
              </w:rPr>
              <w:t>. De la oportunidad y procedibilidad del recurso de revisión.</w:t>
            </w:r>
            <w:r w:rsidR="00B85136" w:rsidRPr="00D83C6F">
              <w:rPr>
                <w:rFonts w:ascii="Palatino Linotype" w:hAnsi="Palatino Linotype"/>
                <w:b/>
                <w:noProof/>
                <w:webHidden/>
                <w:sz w:val="24"/>
                <w:szCs w:val="24"/>
              </w:rPr>
              <w:tab/>
            </w:r>
            <w:r w:rsidR="00B85136" w:rsidRPr="00D83C6F">
              <w:rPr>
                <w:rFonts w:ascii="Palatino Linotype" w:hAnsi="Palatino Linotype"/>
                <w:b/>
                <w:noProof/>
                <w:webHidden/>
                <w:sz w:val="24"/>
                <w:szCs w:val="24"/>
              </w:rPr>
              <w:fldChar w:fldCharType="begin"/>
            </w:r>
            <w:r w:rsidR="00B85136" w:rsidRPr="00D83C6F">
              <w:rPr>
                <w:rFonts w:ascii="Palatino Linotype" w:hAnsi="Palatino Linotype"/>
                <w:b/>
                <w:noProof/>
                <w:webHidden/>
                <w:sz w:val="24"/>
                <w:szCs w:val="24"/>
              </w:rPr>
              <w:instrText xml:space="preserve"> PAGEREF _Toc525814124 \h </w:instrText>
            </w:r>
            <w:r w:rsidR="00B85136" w:rsidRPr="00D83C6F">
              <w:rPr>
                <w:rFonts w:ascii="Palatino Linotype" w:hAnsi="Palatino Linotype"/>
                <w:b/>
                <w:noProof/>
                <w:webHidden/>
                <w:sz w:val="24"/>
                <w:szCs w:val="24"/>
              </w:rPr>
            </w:r>
            <w:r w:rsidR="00B85136" w:rsidRPr="00D83C6F">
              <w:rPr>
                <w:rFonts w:ascii="Palatino Linotype" w:hAnsi="Palatino Linotype"/>
                <w:b/>
                <w:noProof/>
                <w:webHidden/>
                <w:sz w:val="24"/>
                <w:szCs w:val="24"/>
              </w:rPr>
              <w:fldChar w:fldCharType="separate"/>
            </w:r>
            <w:r w:rsidR="00240779">
              <w:rPr>
                <w:rFonts w:ascii="Palatino Linotype" w:hAnsi="Palatino Linotype"/>
                <w:b/>
                <w:noProof/>
                <w:webHidden/>
                <w:sz w:val="24"/>
                <w:szCs w:val="24"/>
              </w:rPr>
              <w:t>26</w:t>
            </w:r>
            <w:r w:rsidR="00B85136" w:rsidRPr="00D83C6F">
              <w:rPr>
                <w:rFonts w:ascii="Palatino Linotype" w:hAnsi="Palatino Linotype"/>
                <w:b/>
                <w:noProof/>
                <w:webHidden/>
                <w:sz w:val="24"/>
                <w:szCs w:val="24"/>
              </w:rPr>
              <w:fldChar w:fldCharType="end"/>
            </w:r>
          </w:hyperlink>
        </w:p>
        <w:p w:rsidR="00D83C6F" w:rsidRPr="00D83C6F" w:rsidRDefault="00D83C6F" w:rsidP="00D95A22">
          <w:pPr>
            <w:spacing w:line="360" w:lineRule="auto"/>
            <w:rPr>
              <w:rFonts w:ascii="Palatino Linotype" w:hAnsi="Palatino Linotype"/>
              <w:b/>
              <w:noProof/>
              <w:sz w:val="24"/>
              <w:szCs w:val="24"/>
            </w:rPr>
          </w:pPr>
          <w:r w:rsidRPr="00D83C6F">
            <w:rPr>
              <w:rFonts w:ascii="Palatino Linotype" w:hAnsi="Palatino Linotype"/>
              <w:b/>
              <w:noProof/>
              <w:sz w:val="24"/>
              <w:szCs w:val="24"/>
            </w:rPr>
            <w:t>TERCERO. Del planteamiento de la Litis…………………………………………….9</w:t>
          </w:r>
        </w:p>
        <w:p w:rsidR="00B85136" w:rsidRPr="00D83C6F" w:rsidRDefault="009338C5" w:rsidP="00D95A22">
          <w:pPr>
            <w:pStyle w:val="TDC1"/>
            <w:rPr>
              <w:rFonts w:ascii="Palatino Linotype" w:eastAsiaTheme="minorEastAsia" w:hAnsi="Palatino Linotype"/>
              <w:b/>
              <w:noProof/>
              <w:sz w:val="24"/>
              <w:szCs w:val="24"/>
              <w:lang w:eastAsia="es-MX"/>
            </w:rPr>
          </w:pPr>
          <w:hyperlink w:anchor="_Toc525814125" w:history="1">
            <w:r w:rsidR="00B85136" w:rsidRPr="00D83C6F">
              <w:rPr>
                <w:rStyle w:val="Hipervnculo"/>
                <w:rFonts w:ascii="Palatino Linotype" w:eastAsia="MS Gothic" w:hAnsi="Palatino Linotype" w:cstheme="majorBidi"/>
                <w:b/>
                <w:noProof/>
                <w:sz w:val="24"/>
                <w:szCs w:val="24"/>
                <w:lang w:val="es-ES_tradnl" w:eastAsia="es-ES"/>
              </w:rPr>
              <w:t>CUARTO. Del estudio y resolución del recurso de revisión.</w:t>
            </w:r>
            <w:r w:rsidR="00B85136" w:rsidRPr="00D83C6F">
              <w:rPr>
                <w:rFonts w:ascii="Palatino Linotype" w:hAnsi="Palatino Linotype"/>
                <w:b/>
                <w:noProof/>
                <w:webHidden/>
                <w:sz w:val="24"/>
                <w:szCs w:val="24"/>
              </w:rPr>
              <w:tab/>
            </w:r>
            <w:r w:rsidR="00B85136" w:rsidRPr="00D83C6F">
              <w:rPr>
                <w:rFonts w:ascii="Palatino Linotype" w:hAnsi="Palatino Linotype"/>
                <w:b/>
                <w:noProof/>
                <w:webHidden/>
                <w:sz w:val="24"/>
                <w:szCs w:val="24"/>
              </w:rPr>
              <w:fldChar w:fldCharType="begin"/>
            </w:r>
            <w:r w:rsidR="00B85136" w:rsidRPr="00D83C6F">
              <w:rPr>
                <w:rFonts w:ascii="Palatino Linotype" w:hAnsi="Palatino Linotype"/>
                <w:b/>
                <w:noProof/>
                <w:webHidden/>
                <w:sz w:val="24"/>
                <w:szCs w:val="24"/>
              </w:rPr>
              <w:instrText xml:space="preserve"> PAGEREF _Toc525814125 \h </w:instrText>
            </w:r>
            <w:r w:rsidR="00B85136" w:rsidRPr="00D83C6F">
              <w:rPr>
                <w:rFonts w:ascii="Palatino Linotype" w:hAnsi="Palatino Linotype"/>
                <w:b/>
                <w:noProof/>
                <w:webHidden/>
                <w:sz w:val="24"/>
                <w:szCs w:val="24"/>
              </w:rPr>
            </w:r>
            <w:r w:rsidR="00B85136" w:rsidRPr="00D83C6F">
              <w:rPr>
                <w:rFonts w:ascii="Palatino Linotype" w:hAnsi="Palatino Linotype"/>
                <w:b/>
                <w:noProof/>
                <w:webHidden/>
                <w:sz w:val="24"/>
                <w:szCs w:val="24"/>
              </w:rPr>
              <w:fldChar w:fldCharType="separate"/>
            </w:r>
            <w:r w:rsidR="00240779">
              <w:rPr>
                <w:rFonts w:ascii="Palatino Linotype" w:hAnsi="Palatino Linotype"/>
                <w:b/>
                <w:noProof/>
                <w:webHidden/>
                <w:sz w:val="24"/>
                <w:szCs w:val="24"/>
              </w:rPr>
              <w:t>30</w:t>
            </w:r>
            <w:r w:rsidR="00B85136" w:rsidRPr="00D83C6F">
              <w:rPr>
                <w:rFonts w:ascii="Palatino Linotype" w:hAnsi="Palatino Linotype"/>
                <w:b/>
                <w:noProof/>
                <w:webHidden/>
                <w:sz w:val="24"/>
                <w:szCs w:val="24"/>
              </w:rPr>
              <w:fldChar w:fldCharType="end"/>
            </w:r>
          </w:hyperlink>
        </w:p>
        <w:p w:rsidR="00B85136" w:rsidRPr="00D83C6F" w:rsidRDefault="009338C5" w:rsidP="00D95A22">
          <w:pPr>
            <w:pStyle w:val="TDC1"/>
            <w:rPr>
              <w:rFonts w:ascii="Palatino Linotype" w:eastAsiaTheme="minorEastAsia" w:hAnsi="Palatino Linotype"/>
              <w:b/>
              <w:noProof/>
              <w:sz w:val="24"/>
              <w:szCs w:val="24"/>
              <w:lang w:eastAsia="es-MX"/>
            </w:rPr>
          </w:pPr>
          <w:hyperlink w:anchor="_Toc525814126" w:history="1">
            <w:r w:rsidR="00B85136" w:rsidRPr="00D83C6F">
              <w:rPr>
                <w:rStyle w:val="Hipervnculo"/>
                <w:rFonts w:ascii="Palatino Linotype" w:eastAsia="Times New Roman" w:hAnsi="Palatino Linotype" w:cstheme="majorBidi"/>
                <w:b/>
                <w:noProof/>
                <w:sz w:val="24"/>
                <w:szCs w:val="24"/>
                <w:lang w:val="es-ES_tradnl" w:eastAsia="es-ES"/>
              </w:rPr>
              <w:t>R E S O L U T I V O S</w:t>
            </w:r>
            <w:r w:rsidR="00B85136" w:rsidRPr="00D83C6F">
              <w:rPr>
                <w:rFonts w:ascii="Palatino Linotype" w:hAnsi="Palatino Linotype"/>
                <w:b/>
                <w:noProof/>
                <w:webHidden/>
                <w:sz w:val="24"/>
                <w:szCs w:val="24"/>
              </w:rPr>
              <w:tab/>
            </w:r>
            <w:r w:rsidR="00B85136" w:rsidRPr="00D83C6F">
              <w:rPr>
                <w:rFonts w:ascii="Palatino Linotype" w:hAnsi="Palatino Linotype"/>
                <w:b/>
                <w:noProof/>
                <w:webHidden/>
                <w:sz w:val="24"/>
                <w:szCs w:val="24"/>
              </w:rPr>
              <w:fldChar w:fldCharType="begin"/>
            </w:r>
            <w:r w:rsidR="00B85136" w:rsidRPr="00D83C6F">
              <w:rPr>
                <w:rFonts w:ascii="Palatino Linotype" w:hAnsi="Palatino Linotype"/>
                <w:b/>
                <w:noProof/>
                <w:webHidden/>
                <w:sz w:val="24"/>
                <w:szCs w:val="24"/>
              </w:rPr>
              <w:instrText xml:space="preserve"> PAGEREF _Toc525814126 \h </w:instrText>
            </w:r>
            <w:r w:rsidR="00B85136" w:rsidRPr="00D83C6F">
              <w:rPr>
                <w:rFonts w:ascii="Palatino Linotype" w:hAnsi="Palatino Linotype"/>
                <w:b/>
                <w:noProof/>
                <w:webHidden/>
                <w:sz w:val="24"/>
                <w:szCs w:val="24"/>
              </w:rPr>
            </w:r>
            <w:r w:rsidR="00B85136" w:rsidRPr="00D83C6F">
              <w:rPr>
                <w:rFonts w:ascii="Palatino Linotype" w:hAnsi="Palatino Linotype"/>
                <w:b/>
                <w:noProof/>
                <w:webHidden/>
                <w:sz w:val="24"/>
                <w:szCs w:val="24"/>
              </w:rPr>
              <w:fldChar w:fldCharType="separate"/>
            </w:r>
            <w:r w:rsidR="00240779">
              <w:rPr>
                <w:rFonts w:ascii="Palatino Linotype" w:hAnsi="Palatino Linotype"/>
                <w:b/>
                <w:noProof/>
                <w:webHidden/>
                <w:sz w:val="24"/>
                <w:szCs w:val="24"/>
              </w:rPr>
              <w:t>58</w:t>
            </w:r>
            <w:r w:rsidR="00B85136" w:rsidRPr="00D83C6F">
              <w:rPr>
                <w:rFonts w:ascii="Palatino Linotype" w:hAnsi="Palatino Linotype"/>
                <w:b/>
                <w:noProof/>
                <w:webHidden/>
                <w:sz w:val="24"/>
                <w:szCs w:val="24"/>
              </w:rPr>
              <w:fldChar w:fldCharType="end"/>
            </w:r>
          </w:hyperlink>
        </w:p>
        <w:p w:rsidR="00B85136" w:rsidRDefault="00240779" w:rsidP="00D95A22">
          <w:pPr>
            <w:spacing w:line="360" w:lineRule="auto"/>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241300</wp:posOffset>
                    </wp:positionV>
                    <wp:extent cx="5676900" cy="3057525"/>
                    <wp:effectExtent l="19050" t="19050" r="19050" b="28575"/>
                    <wp:wrapNone/>
                    <wp:docPr id="6" name="Conector recto 6"/>
                    <wp:cNvGraphicFramePr/>
                    <a:graphic xmlns:a="http://schemas.openxmlformats.org/drawingml/2006/main">
                      <a:graphicData uri="http://schemas.microsoft.com/office/word/2010/wordprocessingShape">
                        <wps:wsp>
                          <wps:cNvCnPr/>
                          <wps:spPr>
                            <a:xfrm>
                              <a:off x="0" y="0"/>
                              <a:ext cx="5676900" cy="3057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55B36"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pt" to="445.95pt,2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" strokecolor="#5b9bd5 [3204]" strokeweight="3pt">
                    <v:stroke joinstyle="miter"/>
                  </v:line>
                </w:pict>
              </mc:Fallback>
            </mc:AlternateContent>
          </w:r>
          <w:r w:rsidR="00B85136">
            <w:rPr>
              <w:b/>
              <w:bCs/>
              <w:lang w:val="es-ES"/>
            </w:rPr>
            <w:fldChar w:fldCharType="end"/>
          </w:r>
        </w:p>
      </w:sdtContent>
    </w:sdt>
    <w:p w:rsidR="00792776" w:rsidRPr="003E585E" w:rsidRDefault="00792776" w:rsidP="00D95A22">
      <w:pPr>
        <w:spacing w:after="0" w:line="360" w:lineRule="auto"/>
        <w:jc w:val="center"/>
        <w:rPr>
          <w:rFonts w:ascii="Palatino Linotype" w:eastAsia="MS Mincho" w:hAnsi="Palatino Linotype" w:cs="Times New Roman"/>
          <w:sz w:val="24"/>
          <w:szCs w:val="24"/>
          <w:lang w:val="es-ES_tradnl" w:eastAsia="es-ES"/>
        </w:rPr>
      </w:pPr>
    </w:p>
    <w:p w:rsidR="00792776" w:rsidRPr="003E585E" w:rsidRDefault="00792776" w:rsidP="00D95A22">
      <w:pPr>
        <w:spacing w:after="0" w:line="360" w:lineRule="auto"/>
        <w:jc w:val="center"/>
        <w:rPr>
          <w:rFonts w:ascii="Palatino Linotype" w:eastAsia="MS Mincho" w:hAnsi="Palatino Linotype" w:cs="Times New Roman"/>
          <w:sz w:val="24"/>
          <w:szCs w:val="24"/>
          <w:lang w:val="es-ES_tradnl" w:eastAsia="es-ES"/>
        </w:rPr>
      </w:pPr>
    </w:p>
    <w:p w:rsidR="00792776" w:rsidRDefault="00792776" w:rsidP="00D95A22">
      <w:pPr>
        <w:spacing w:after="0" w:line="360" w:lineRule="auto"/>
        <w:jc w:val="both"/>
        <w:rPr>
          <w:rFonts w:ascii="Palatino Linotype" w:eastAsia="MS Mincho" w:hAnsi="Palatino Linotype" w:cs="Times New Roman"/>
          <w:sz w:val="24"/>
          <w:szCs w:val="24"/>
          <w:lang w:val="es-ES_tradnl" w:eastAsia="es-ES"/>
        </w:rPr>
      </w:pPr>
    </w:p>
    <w:p w:rsidR="00A612C0" w:rsidRDefault="00A612C0" w:rsidP="00D95A22">
      <w:pPr>
        <w:spacing w:after="0" w:line="360" w:lineRule="auto"/>
        <w:jc w:val="both"/>
        <w:rPr>
          <w:rFonts w:ascii="Palatino Linotype" w:eastAsia="MS Mincho" w:hAnsi="Palatino Linotype" w:cs="Times New Roman"/>
          <w:sz w:val="24"/>
          <w:szCs w:val="24"/>
          <w:lang w:val="es-ES_tradnl" w:eastAsia="es-ES"/>
        </w:rPr>
      </w:pPr>
    </w:p>
    <w:p w:rsidR="00A612C0" w:rsidRDefault="00A612C0" w:rsidP="00D95A22">
      <w:pPr>
        <w:spacing w:after="0" w:line="360" w:lineRule="auto"/>
        <w:jc w:val="both"/>
        <w:rPr>
          <w:rFonts w:ascii="Palatino Linotype" w:eastAsia="MS Mincho" w:hAnsi="Palatino Linotype" w:cs="Times New Roman"/>
          <w:sz w:val="24"/>
          <w:szCs w:val="24"/>
          <w:lang w:val="es-ES_tradnl" w:eastAsia="es-ES"/>
        </w:rPr>
      </w:pPr>
    </w:p>
    <w:p w:rsidR="00D21751" w:rsidRDefault="00D21751" w:rsidP="00D95A22">
      <w:pPr>
        <w:spacing w:after="0" w:line="360" w:lineRule="auto"/>
        <w:jc w:val="both"/>
        <w:rPr>
          <w:rFonts w:ascii="Palatino Linotype" w:eastAsia="MS Mincho" w:hAnsi="Palatino Linotype" w:cs="Times New Roman"/>
          <w:sz w:val="24"/>
          <w:szCs w:val="24"/>
          <w:lang w:val="es-ES_tradnl" w:eastAsia="es-ES"/>
        </w:rPr>
      </w:pPr>
    </w:p>
    <w:p w:rsidR="00D21751" w:rsidRDefault="00D21751" w:rsidP="00D95A22">
      <w:pPr>
        <w:spacing w:after="0" w:line="360" w:lineRule="auto"/>
        <w:jc w:val="both"/>
        <w:rPr>
          <w:rFonts w:ascii="Palatino Linotype" w:eastAsia="MS Mincho" w:hAnsi="Palatino Linotype" w:cs="Times New Roman"/>
          <w:sz w:val="24"/>
          <w:szCs w:val="24"/>
          <w:lang w:val="es-ES_tradnl" w:eastAsia="es-ES"/>
        </w:rPr>
      </w:pPr>
    </w:p>
    <w:p w:rsidR="00A612C0" w:rsidRDefault="00A612C0" w:rsidP="00D95A22">
      <w:pPr>
        <w:spacing w:after="0" w:line="360" w:lineRule="auto"/>
        <w:jc w:val="both"/>
        <w:rPr>
          <w:rFonts w:ascii="Palatino Linotype" w:eastAsia="MS Mincho" w:hAnsi="Palatino Linotype" w:cs="Times New Roman"/>
          <w:sz w:val="24"/>
          <w:szCs w:val="24"/>
          <w:lang w:val="es-ES_tradnl" w:eastAsia="es-ES"/>
        </w:rPr>
      </w:pPr>
    </w:p>
    <w:p w:rsidR="00A612C0" w:rsidRDefault="00A612C0" w:rsidP="00D95A22">
      <w:pPr>
        <w:spacing w:after="0" w:line="360" w:lineRule="auto"/>
        <w:jc w:val="both"/>
        <w:rPr>
          <w:rFonts w:ascii="Palatino Linotype" w:eastAsia="MS Mincho" w:hAnsi="Palatino Linotype" w:cs="Times New Roman"/>
          <w:sz w:val="24"/>
          <w:szCs w:val="24"/>
          <w:lang w:val="es-ES_tradnl" w:eastAsia="es-ES"/>
        </w:rPr>
      </w:pPr>
    </w:p>
    <w:p w:rsidR="00C07697" w:rsidRDefault="00792776" w:rsidP="00D95A22">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5E7BEE">
        <w:rPr>
          <w:rFonts w:ascii="Palatino Linotype" w:eastAsia="MS Mincho" w:hAnsi="Palatino Linotype" w:cs="Times New Roman"/>
          <w:sz w:val="24"/>
          <w:szCs w:val="24"/>
          <w:highlight w:val="yellow"/>
          <w:lang w:val="es-ES_tradnl" w:eastAsia="es-ES"/>
        </w:rPr>
        <w:t>de</w:t>
      </w:r>
      <w:r w:rsidR="005A2B5F" w:rsidRPr="005E7BEE">
        <w:rPr>
          <w:rFonts w:ascii="Palatino Linotype" w:eastAsia="MS Mincho" w:hAnsi="Palatino Linotype" w:cs="Times New Roman"/>
          <w:sz w:val="24"/>
          <w:szCs w:val="24"/>
          <w:highlight w:val="yellow"/>
          <w:lang w:val="es-ES_tradnl" w:eastAsia="es-ES"/>
        </w:rPr>
        <w:t xml:space="preserve"> fecha </w:t>
      </w:r>
      <w:r w:rsidR="00D64DD8">
        <w:rPr>
          <w:rFonts w:ascii="Palatino Linotype" w:eastAsia="MS Mincho" w:hAnsi="Palatino Linotype" w:cs="Times New Roman"/>
          <w:sz w:val="24"/>
          <w:szCs w:val="24"/>
          <w:highlight w:val="yellow"/>
          <w:lang w:val="es-ES_tradnl" w:eastAsia="es-ES"/>
        </w:rPr>
        <w:t>catorce (14) de noviem</w:t>
      </w:r>
      <w:r w:rsidR="00AB56C1" w:rsidRPr="005E7BEE">
        <w:rPr>
          <w:rFonts w:ascii="Palatino Linotype" w:eastAsia="MS Mincho" w:hAnsi="Palatino Linotype" w:cs="Times New Roman"/>
          <w:sz w:val="24"/>
          <w:szCs w:val="24"/>
          <w:highlight w:val="yellow"/>
          <w:lang w:val="es-ES_tradnl" w:eastAsia="es-ES"/>
        </w:rPr>
        <w:t xml:space="preserve">bre </w:t>
      </w:r>
      <w:r w:rsidR="00FF1477">
        <w:rPr>
          <w:rFonts w:ascii="Palatino Linotype" w:eastAsia="MS Mincho" w:hAnsi="Palatino Linotype" w:cs="Times New Roman"/>
          <w:sz w:val="24"/>
          <w:szCs w:val="24"/>
          <w:highlight w:val="yellow"/>
          <w:lang w:val="es-ES_tradnl" w:eastAsia="es-ES"/>
        </w:rPr>
        <w:t>de 2018.</w:t>
      </w:r>
    </w:p>
    <w:p w:rsidR="00FF1477" w:rsidRPr="00FF1477" w:rsidRDefault="00FF1477" w:rsidP="00D95A22">
      <w:pPr>
        <w:spacing w:after="0" w:line="360" w:lineRule="auto"/>
        <w:jc w:val="both"/>
        <w:rPr>
          <w:rFonts w:ascii="Palatino Linotype" w:eastAsia="MS Mincho" w:hAnsi="Palatino Linotype" w:cs="Times New Roman"/>
          <w:sz w:val="24"/>
          <w:szCs w:val="24"/>
          <w:lang w:val="es-ES_tradnl" w:eastAsia="es-ES"/>
        </w:rPr>
      </w:pPr>
    </w:p>
    <w:p w:rsidR="00792776" w:rsidRPr="006869D2" w:rsidRDefault="00792776" w:rsidP="00D62954">
      <w:pPr>
        <w:spacing w:line="360" w:lineRule="auto"/>
        <w:jc w:val="both"/>
        <w:rPr>
          <w:rFonts w:ascii="Palatino Linotype" w:hAnsi="Palatino Linotype"/>
          <w:b/>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 revisión</w:t>
      </w:r>
      <w:r w:rsidRPr="005E7BEE">
        <w:rPr>
          <w:rFonts w:ascii="Palatino Linotype" w:eastAsia="MS Mincho" w:hAnsi="Palatino Linotype" w:cs="Arial"/>
          <w:b/>
          <w:bCs/>
          <w:sz w:val="24"/>
          <w:szCs w:val="24"/>
          <w:lang w:val="es-ES_tradnl" w:eastAsia="es-ES"/>
        </w:rPr>
        <w:t>,</w:t>
      </w:r>
      <w:r w:rsidR="00987E5C" w:rsidRPr="005E7BEE">
        <w:rPr>
          <w:rFonts w:ascii="Palatino Linotype" w:hAnsi="Palatino Linotype" w:cs="Arial"/>
          <w:b/>
          <w:bCs/>
          <w:lang w:eastAsia="es-MX"/>
        </w:rPr>
        <w:t xml:space="preserve">         </w:t>
      </w:r>
      <w:r w:rsidR="005E7BEE">
        <w:rPr>
          <w:rFonts w:ascii="Palatino Linotype" w:hAnsi="Palatino Linotype" w:cs="Arial"/>
          <w:b/>
          <w:bCs/>
          <w:sz w:val="24"/>
          <w:lang w:eastAsia="es-MX"/>
        </w:rPr>
        <w:t>03423</w:t>
      </w:r>
      <w:r w:rsidR="005E38DE">
        <w:rPr>
          <w:rFonts w:ascii="Palatino Linotype" w:hAnsi="Palatino Linotype" w:cs="Arial"/>
          <w:b/>
          <w:bCs/>
          <w:sz w:val="24"/>
          <w:lang w:eastAsia="es-MX"/>
        </w:rPr>
        <w:t xml:space="preserve">/INFOEM/IP/RR/2018, </w:t>
      </w:r>
      <w:r w:rsidR="005E38DE" w:rsidRPr="005E38DE">
        <w:rPr>
          <w:rFonts w:ascii="Palatino Linotype" w:hAnsi="Palatino Linotype" w:cs="Arial"/>
          <w:b/>
          <w:bCs/>
          <w:sz w:val="24"/>
          <w:lang w:eastAsia="es-MX"/>
        </w:rPr>
        <w:t>03424/INFOEM/IP/RR/2018 y 3425/INFOEM/IP/RR/2018</w:t>
      </w:r>
      <w:r w:rsidR="005E38DE">
        <w:rPr>
          <w:rFonts w:ascii="Palatino Linotype" w:hAnsi="Palatino Linotype" w:cs="Arial"/>
          <w:b/>
          <w:bCs/>
          <w:sz w:val="24"/>
          <w:lang w:eastAsia="es-MX"/>
        </w:rPr>
        <w:t xml:space="preserve"> </w:t>
      </w:r>
      <w:r w:rsidR="005E7BEE">
        <w:rPr>
          <w:rFonts w:ascii="Palatino Linotype" w:hAnsi="Palatino Linotype" w:cs="Arial"/>
          <w:b/>
          <w:bCs/>
          <w:sz w:val="24"/>
          <w:lang w:eastAsia="es-MX"/>
        </w:rPr>
        <w:t xml:space="preserve">acumulados </w:t>
      </w:r>
      <w:r w:rsidRPr="005E7BEE">
        <w:rPr>
          <w:rFonts w:ascii="Palatino Linotype" w:eastAsia="MS Mincho" w:hAnsi="Palatino Linotype" w:cs="Times New Roman"/>
          <w:sz w:val="24"/>
          <w:szCs w:val="24"/>
          <w:lang w:val="es-ES_tradnl" w:eastAsia="es-ES"/>
        </w:rPr>
        <w:t>promovido</w:t>
      </w:r>
      <w:r w:rsidR="005E7BEE">
        <w:rPr>
          <w:rFonts w:ascii="Palatino Linotype" w:eastAsia="MS Mincho" w:hAnsi="Palatino Linotype" w:cs="Times New Roman"/>
          <w:sz w:val="24"/>
          <w:szCs w:val="24"/>
          <w:lang w:val="es-ES_tradnl" w:eastAsia="es-ES"/>
        </w:rPr>
        <w:t>s</w:t>
      </w:r>
      <w:r w:rsidRPr="005E7BEE">
        <w:rPr>
          <w:rFonts w:ascii="Palatino Linotype" w:eastAsia="MS Mincho" w:hAnsi="Palatino Linotype" w:cs="Times New Roman"/>
          <w:sz w:val="24"/>
          <w:szCs w:val="24"/>
          <w:lang w:val="es-ES_tradnl" w:eastAsia="es-ES"/>
        </w:rPr>
        <w:t xml:space="preserve"> por</w:t>
      </w:r>
      <w:r w:rsidRPr="005E7BEE">
        <w:rPr>
          <w:rFonts w:ascii="Palatino Linotype" w:hAnsi="Palatino Linotype"/>
          <w:b/>
          <w:sz w:val="24"/>
          <w:szCs w:val="24"/>
        </w:rPr>
        <w:t xml:space="preserve"> </w:t>
      </w:r>
      <w:r w:rsidR="00CE571D" w:rsidRPr="00CE571D">
        <w:rPr>
          <w:rFonts w:ascii="Palatino Linotype" w:hAnsi="Palatino Linotype"/>
          <w:b/>
          <w:sz w:val="24"/>
          <w:highlight w:val="black"/>
        </w:rPr>
        <w:t>--------------------------------</w:t>
      </w:r>
      <w:r w:rsidR="006869D2">
        <w:rPr>
          <w:rFonts w:ascii="Palatino Linotype" w:hAnsi="Palatino Linotype"/>
          <w:b/>
          <w:sz w:val="24"/>
        </w:rPr>
        <w:t xml:space="preserve">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 xml:space="preserve">la respuesta del </w:t>
      </w:r>
      <w:r w:rsidR="005E7BEE">
        <w:rPr>
          <w:rFonts w:ascii="Palatino Linotype" w:eastAsia="MS Mincho" w:hAnsi="Palatino Linotype" w:cs="Arial"/>
          <w:b/>
          <w:sz w:val="24"/>
          <w:szCs w:val="24"/>
          <w:lang w:val="es-ES_tradnl" w:eastAsia="es-ES"/>
        </w:rPr>
        <w:t>Instituto de Seguridad Social del Estado de México y Municipios</w:t>
      </w:r>
      <w:r w:rsidR="00887109" w:rsidRPr="005E7BEE">
        <w:rPr>
          <w:rFonts w:ascii="Palatino Linotype" w:hAnsi="Palatino Linotype"/>
          <w:b/>
          <w:sz w:val="24"/>
          <w:szCs w:val="24"/>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D95A22">
      <w:pPr>
        <w:spacing w:after="0" w:line="360" w:lineRule="auto"/>
        <w:jc w:val="both"/>
        <w:rPr>
          <w:rFonts w:ascii="Palatino Linotype" w:eastAsia="MS Mincho" w:hAnsi="Palatino Linotype" w:cs="Times New Roman"/>
          <w:b/>
          <w:sz w:val="24"/>
          <w:szCs w:val="24"/>
          <w:lang w:val="es-ES_tradnl" w:eastAsia="es-ES"/>
        </w:rPr>
      </w:pPr>
    </w:p>
    <w:p w:rsidR="00792776" w:rsidRPr="003E585E" w:rsidRDefault="00792776" w:rsidP="00D95A22">
      <w:pPr>
        <w:keepNext/>
        <w:keepLines/>
        <w:spacing w:after="0" w:line="360" w:lineRule="auto"/>
        <w:jc w:val="center"/>
        <w:outlineLvl w:val="0"/>
        <w:rPr>
          <w:rFonts w:ascii="Palatino Linotype" w:eastAsia="MS Gothic" w:hAnsi="Palatino Linotype" w:cs="Times New Roman"/>
          <w:b/>
          <w:sz w:val="24"/>
          <w:szCs w:val="32"/>
        </w:rPr>
      </w:pPr>
      <w:bookmarkStart w:id="1" w:name="_Toc525814121"/>
      <w:r w:rsidRPr="003E585E">
        <w:rPr>
          <w:rFonts w:ascii="Palatino Linotype" w:eastAsia="MS Gothic" w:hAnsi="Palatino Linotype" w:cs="Times New Roman"/>
          <w:b/>
          <w:sz w:val="24"/>
          <w:szCs w:val="32"/>
        </w:rPr>
        <w:t>A N T E C E D E N T E S</w:t>
      </w:r>
      <w:bookmarkEnd w:id="1"/>
    </w:p>
    <w:p w:rsidR="00792776" w:rsidRPr="003E585E" w:rsidRDefault="00792776" w:rsidP="00D95A22">
      <w:pPr>
        <w:spacing w:after="0" w:line="360" w:lineRule="auto"/>
      </w:pPr>
    </w:p>
    <w:p w:rsidR="00792776" w:rsidRDefault="00792776" w:rsidP="005176B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 xml:space="preserve">El día </w:t>
      </w:r>
      <w:r w:rsidR="00987E5C">
        <w:rPr>
          <w:rFonts w:ascii="Palatino Linotype" w:eastAsia="Times New Roman" w:hAnsi="Palatino Linotype" w:cs="Arial"/>
          <w:sz w:val="24"/>
          <w:szCs w:val="24"/>
          <w:lang w:val="es-ES" w:eastAsia="es-ES"/>
        </w:rPr>
        <w:t xml:space="preserve"> </w:t>
      </w:r>
      <w:r w:rsidR="004A3422">
        <w:rPr>
          <w:rFonts w:ascii="Palatino Linotype" w:eastAsia="Times New Roman" w:hAnsi="Palatino Linotype" w:cs="Arial"/>
          <w:sz w:val="24"/>
          <w:szCs w:val="24"/>
          <w:lang w:val="es-ES" w:eastAsia="es-ES"/>
        </w:rPr>
        <w:t>trece</w:t>
      </w:r>
      <w:r w:rsidR="00887109">
        <w:rPr>
          <w:rFonts w:ascii="Palatino Linotype" w:eastAsia="Times New Roman" w:hAnsi="Palatino Linotype" w:cs="Arial"/>
          <w:sz w:val="24"/>
          <w:szCs w:val="24"/>
          <w:lang w:val="es-ES" w:eastAsia="es-ES"/>
        </w:rPr>
        <w:t xml:space="preserve"> </w:t>
      </w:r>
      <w:r w:rsidR="00987E5C">
        <w:rPr>
          <w:rFonts w:ascii="Palatino Linotype" w:eastAsia="Times New Roman" w:hAnsi="Palatino Linotype" w:cs="Arial"/>
          <w:sz w:val="24"/>
          <w:szCs w:val="24"/>
          <w:lang w:val="es-ES" w:eastAsia="es-ES"/>
        </w:rPr>
        <w:t>(</w:t>
      </w:r>
      <w:r w:rsidR="004A3422">
        <w:rPr>
          <w:rFonts w:ascii="Palatino Linotype" w:eastAsia="Times New Roman" w:hAnsi="Palatino Linotype" w:cs="Arial"/>
          <w:sz w:val="24"/>
          <w:szCs w:val="24"/>
          <w:lang w:val="es-ES" w:eastAsia="es-ES"/>
        </w:rPr>
        <w:t>13</w:t>
      </w:r>
      <w:r w:rsidR="00960D99">
        <w:rPr>
          <w:rFonts w:ascii="Palatino Linotype" w:eastAsia="Times New Roman" w:hAnsi="Palatino Linotype" w:cs="Arial"/>
          <w:sz w:val="24"/>
          <w:szCs w:val="24"/>
          <w:lang w:val="es-ES" w:eastAsia="es-ES"/>
        </w:rPr>
        <w:t xml:space="preserve">) de </w:t>
      </w:r>
      <w:r w:rsidR="004A3422">
        <w:rPr>
          <w:rFonts w:ascii="Palatino Linotype" w:eastAsia="Times New Roman" w:hAnsi="Palatino Linotype" w:cs="Arial"/>
          <w:sz w:val="24"/>
          <w:szCs w:val="24"/>
          <w:lang w:val="es-ES" w:eastAsia="es-ES"/>
        </w:rPr>
        <w:t>agosto</w:t>
      </w:r>
      <w:r w:rsidR="00960D99">
        <w:rPr>
          <w:rFonts w:ascii="Palatino Linotype" w:eastAsia="Times New Roman" w:hAnsi="Palatino Linotype" w:cs="Arial"/>
          <w:sz w:val="24"/>
          <w:szCs w:val="24"/>
          <w:lang w:val="es-ES" w:eastAsia="es-ES"/>
        </w:rPr>
        <w:t xml:space="preserve"> de dos mil dieciocho</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vía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la solicitud de infor</w:t>
      </w:r>
      <w:r w:rsidR="005D1CFC">
        <w:rPr>
          <w:rFonts w:ascii="Palatino Linotype" w:eastAsia="Calibri" w:hAnsi="Palatino Linotype" w:cs="Arial"/>
          <w:sz w:val="24"/>
          <w:szCs w:val="24"/>
          <w:lang w:val="es-ES" w:eastAsia="es-ES"/>
        </w:rPr>
        <w:t xml:space="preserve">mación pública registrada con los números </w:t>
      </w:r>
      <w:r w:rsidR="004A3422">
        <w:rPr>
          <w:rFonts w:ascii="Palatino Linotype" w:eastAsia="Times New Roman" w:hAnsi="Palatino Linotype" w:cs="Arial"/>
          <w:b/>
          <w:bCs/>
          <w:sz w:val="24"/>
          <w:szCs w:val="24"/>
          <w:lang w:eastAsia="es-ES"/>
        </w:rPr>
        <w:t>00441</w:t>
      </w:r>
      <w:r w:rsidR="00C64E0E" w:rsidRPr="003E585E">
        <w:rPr>
          <w:rFonts w:ascii="Palatino Linotype" w:eastAsia="Times New Roman" w:hAnsi="Palatino Linotype" w:cs="Arial"/>
          <w:b/>
          <w:bCs/>
          <w:sz w:val="24"/>
          <w:szCs w:val="24"/>
          <w:lang w:eastAsia="es-ES"/>
        </w:rPr>
        <w:t>/</w:t>
      </w:r>
      <w:r w:rsidR="004A3422">
        <w:rPr>
          <w:rFonts w:ascii="Palatino Linotype" w:eastAsia="Times New Roman" w:hAnsi="Palatino Linotype" w:cs="Arial"/>
          <w:b/>
          <w:bCs/>
          <w:sz w:val="24"/>
          <w:szCs w:val="24"/>
          <w:lang w:eastAsia="es-ES"/>
        </w:rPr>
        <w:t>ISSEMYM</w:t>
      </w:r>
      <w:r w:rsidR="00C64E0E" w:rsidRPr="003E585E">
        <w:rPr>
          <w:rFonts w:ascii="Palatino Linotype" w:eastAsia="Times New Roman" w:hAnsi="Palatino Linotype" w:cs="Arial"/>
          <w:b/>
          <w:bCs/>
          <w:sz w:val="24"/>
          <w:szCs w:val="24"/>
          <w:lang w:eastAsia="es-ES"/>
        </w:rPr>
        <w:t>/IP/201</w:t>
      </w:r>
      <w:r w:rsidR="00960D99">
        <w:rPr>
          <w:rFonts w:ascii="Palatino Linotype" w:eastAsia="Times New Roman" w:hAnsi="Palatino Linotype" w:cs="Arial"/>
          <w:b/>
          <w:bCs/>
          <w:sz w:val="24"/>
          <w:szCs w:val="24"/>
          <w:lang w:eastAsia="es-ES"/>
        </w:rPr>
        <w:t>8</w:t>
      </w:r>
      <w:r w:rsidRPr="003E585E">
        <w:rPr>
          <w:rFonts w:ascii="Palatino Linotype" w:eastAsia="MS Mincho" w:hAnsi="Palatino Linotype" w:cs="Times New Roman"/>
          <w:b/>
          <w:bCs/>
          <w:sz w:val="24"/>
          <w:szCs w:val="24"/>
          <w:lang w:val="es-ES_tradnl" w:eastAsia="es-ES"/>
        </w:rPr>
        <w:t>,</w:t>
      </w:r>
      <w:r w:rsidR="005D1CFC">
        <w:rPr>
          <w:rFonts w:ascii="Palatino Linotype" w:eastAsia="MS Mincho" w:hAnsi="Palatino Linotype" w:cs="Times New Roman"/>
          <w:b/>
          <w:bCs/>
          <w:sz w:val="24"/>
          <w:szCs w:val="24"/>
          <w:lang w:val="es-ES_tradnl" w:eastAsia="es-ES"/>
        </w:rPr>
        <w:t xml:space="preserve"> </w:t>
      </w:r>
      <w:r w:rsidR="005D1CFC">
        <w:rPr>
          <w:rFonts w:ascii="Palatino Linotype" w:eastAsia="Times New Roman" w:hAnsi="Palatino Linotype" w:cs="Arial"/>
          <w:b/>
          <w:bCs/>
          <w:sz w:val="24"/>
          <w:szCs w:val="24"/>
          <w:lang w:eastAsia="es-ES"/>
        </w:rPr>
        <w:t>00443</w:t>
      </w:r>
      <w:r w:rsidR="005D1CFC" w:rsidRPr="003E585E">
        <w:rPr>
          <w:rFonts w:ascii="Palatino Linotype" w:eastAsia="Times New Roman" w:hAnsi="Palatino Linotype" w:cs="Arial"/>
          <w:b/>
          <w:bCs/>
          <w:sz w:val="24"/>
          <w:szCs w:val="24"/>
          <w:lang w:eastAsia="es-ES"/>
        </w:rPr>
        <w:t>/</w:t>
      </w:r>
      <w:r w:rsidR="005D1CFC">
        <w:rPr>
          <w:rFonts w:ascii="Palatino Linotype" w:eastAsia="Times New Roman" w:hAnsi="Palatino Linotype" w:cs="Arial"/>
          <w:b/>
          <w:bCs/>
          <w:sz w:val="24"/>
          <w:szCs w:val="24"/>
          <w:lang w:eastAsia="es-ES"/>
        </w:rPr>
        <w:t>ISSEMYM</w:t>
      </w:r>
      <w:r w:rsidR="005D1CFC" w:rsidRPr="003E585E">
        <w:rPr>
          <w:rFonts w:ascii="Palatino Linotype" w:eastAsia="Times New Roman" w:hAnsi="Palatino Linotype" w:cs="Arial"/>
          <w:b/>
          <w:bCs/>
          <w:sz w:val="24"/>
          <w:szCs w:val="24"/>
          <w:lang w:eastAsia="es-ES"/>
        </w:rPr>
        <w:t>/IP/201</w:t>
      </w:r>
      <w:r w:rsidR="005D1CFC">
        <w:rPr>
          <w:rFonts w:ascii="Palatino Linotype" w:eastAsia="Times New Roman" w:hAnsi="Palatino Linotype" w:cs="Arial"/>
          <w:b/>
          <w:bCs/>
          <w:sz w:val="24"/>
          <w:szCs w:val="24"/>
          <w:lang w:eastAsia="es-ES"/>
        </w:rPr>
        <w:t>8, 00446</w:t>
      </w:r>
      <w:r w:rsidR="005D1CFC" w:rsidRPr="003E585E">
        <w:rPr>
          <w:rFonts w:ascii="Palatino Linotype" w:eastAsia="Times New Roman" w:hAnsi="Palatino Linotype" w:cs="Arial"/>
          <w:b/>
          <w:bCs/>
          <w:sz w:val="24"/>
          <w:szCs w:val="24"/>
          <w:lang w:eastAsia="es-ES"/>
        </w:rPr>
        <w:t>/</w:t>
      </w:r>
      <w:r w:rsidR="005D1CFC">
        <w:rPr>
          <w:rFonts w:ascii="Palatino Linotype" w:eastAsia="Times New Roman" w:hAnsi="Palatino Linotype" w:cs="Arial"/>
          <w:b/>
          <w:bCs/>
          <w:sz w:val="24"/>
          <w:szCs w:val="24"/>
          <w:lang w:eastAsia="es-ES"/>
        </w:rPr>
        <w:t>ISSEMYM</w:t>
      </w:r>
      <w:r w:rsidR="005D1CFC" w:rsidRPr="003E585E">
        <w:rPr>
          <w:rFonts w:ascii="Palatino Linotype" w:eastAsia="Times New Roman" w:hAnsi="Palatino Linotype" w:cs="Arial"/>
          <w:b/>
          <w:bCs/>
          <w:sz w:val="24"/>
          <w:szCs w:val="24"/>
          <w:lang w:eastAsia="es-ES"/>
        </w:rPr>
        <w:t>/IP/201</w:t>
      </w:r>
      <w:r w:rsidR="005D1CFC">
        <w:rPr>
          <w:rFonts w:ascii="Palatino Linotype" w:eastAsia="Times New Roman" w:hAnsi="Palatino Linotype" w:cs="Arial"/>
          <w:b/>
          <w:bCs/>
          <w:sz w:val="24"/>
          <w:szCs w:val="24"/>
          <w:lang w:eastAsia="es-ES"/>
        </w:rPr>
        <w:t>8</w:t>
      </w:r>
      <w:r w:rsidRPr="003E585E">
        <w:rPr>
          <w:rFonts w:ascii="Palatino Linotype" w:eastAsia="MS Mincho" w:hAnsi="Palatino Linotype" w:cs="Times New Roman"/>
          <w:b/>
          <w:bCs/>
          <w:sz w:val="24"/>
          <w:szCs w:val="24"/>
          <w:lang w:val="es-ES_tradnl" w:eastAsia="es-ES"/>
        </w:rPr>
        <w:t xml:space="preserve"> </w:t>
      </w:r>
      <w:r w:rsidRPr="003E585E">
        <w:rPr>
          <w:rFonts w:ascii="Palatino Linotype" w:eastAsia="Calibri" w:hAnsi="Palatino Linotype" w:cs="Arial"/>
          <w:sz w:val="24"/>
          <w:szCs w:val="24"/>
          <w:lang w:val="es-ES" w:eastAsia="es-ES"/>
        </w:rPr>
        <w:t>mediante la</w:t>
      </w:r>
      <w:r w:rsidR="005D1CFC">
        <w:rPr>
          <w:rFonts w:ascii="Palatino Linotype" w:eastAsia="Calibri" w:hAnsi="Palatino Linotype" w:cs="Arial"/>
          <w:sz w:val="24"/>
          <w:szCs w:val="24"/>
          <w:lang w:val="es-ES" w:eastAsia="es-ES"/>
        </w:rPr>
        <w:t>s</w:t>
      </w:r>
      <w:r w:rsidRPr="003E585E">
        <w:rPr>
          <w:rFonts w:ascii="Palatino Linotype" w:eastAsia="Calibri" w:hAnsi="Palatino Linotype" w:cs="Arial"/>
          <w:sz w:val="24"/>
          <w:szCs w:val="24"/>
          <w:lang w:val="es-ES" w:eastAsia="es-ES"/>
        </w:rPr>
        <w:t xml:space="preserve"> cual</w:t>
      </w:r>
      <w:r w:rsidR="005D1CFC">
        <w:rPr>
          <w:rFonts w:ascii="Palatino Linotype" w:eastAsia="Calibri" w:hAnsi="Palatino Linotype" w:cs="Arial"/>
          <w:sz w:val="24"/>
          <w:szCs w:val="24"/>
          <w:lang w:val="es-ES" w:eastAsia="es-ES"/>
        </w:rPr>
        <w:t>es</w:t>
      </w:r>
      <w:r w:rsidRPr="003E585E">
        <w:rPr>
          <w:rFonts w:ascii="Palatino Linotype" w:eastAsia="Calibri" w:hAnsi="Palatino Linotype" w:cs="Arial"/>
          <w:sz w:val="24"/>
          <w:szCs w:val="24"/>
          <w:lang w:val="es-ES" w:eastAsia="es-ES"/>
        </w:rPr>
        <w:t xml:space="preserve"> se solicitó:</w:t>
      </w:r>
    </w:p>
    <w:p w:rsidR="004A3422" w:rsidRPr="003E585E" w:rsidRDefault="004A3422" w:rsidP="00D95A22">
      <w:pPr>
        <w:spacing w:after="0" w:line="360" w:lineRule="auto"/>
        <w:ind w:left="426"/>
        <w:contextualSpacing/>
        <w:jc w:val="both"/>
        <w:rPr>
          <w:rFonts w:ascii="Palatino Linotype" w:eastAsia="Calibri" w:hAnsi="Palatino Linotype" w:cs="Arial"/>
          <w:sz w:val="24"/>
          <w:szCs w:val="24"/>
          <w:lang w:val="es-ES" w:eastAsia="es-ES"/>
        </w:rPr>
      </w:pPr>
    </w:p>
    <w:p w:rsidR="00792776" w:rsidRPr="00D64DD8" w:rsidRDefault="004A3422" w:rsidP="00D64DD8">
      <w:pPr>
        <w:pStyle w:val="Prrafodelista"/>
        <w:numPr>
          <w:ilvl w:val="0"/>
          <w:numId w:val="16"/>
        </w:numPr>
        <w:spacing w:after="0" w:line="360" w:lineRule="auto"/>
        <w:ind w:left="567" w:right="567" w:firstLine="0"/>
        <w:jc w:val="both"/>
        <w:rPr>
          <w:rFonts w:ascii="Palatino Linotype" w:eastAsia="Times New Roman" w:hAnsi="Palatino Linotype" w:cs="Arial"/>
          <w:b/>
          <w:bCs/>
          <w:sz w:val="24"/>
          <w:szCs w:val="24"/>
          <w:lang w:eastAsia="es-ES"/>
        </w:rPr>
      </w:pPr>
      <w:r w:rsidRPr="001C6D03">
        <w:rPr>
          <w:rFonts w:ascii="Palatino Linotype" w:eastAsia="Times New Roman" w:hAnsi="Palatino Linotype" w:cs="Arial"/>
          <w:b/>
          <w:bCs/>
          <w:sz w:val="24"/>
          <w:szCs w:val="24"/>
          <w:lang w:eastAsia="es-ES"/>
        </w:rPr>
        <w:t>00441/ISSEMYM/IP/2018:</w:t>
      </w:r>
      <w:r w:rsidR="00D64DD8">
        <w:rPr>
          <w:rFonts w:ascii="Palatino Linotype" w:eastAsia="Times New Roman" w:hAnsi="Palatino Linotype" w:cs="Arial"/>
          <w:b/>
          <w:bCs/>
          <w:sz w:val="24"/>
          <w:szCs w:val="24"/>
          <w:lang w:eastAsia="es-ES"/>
        </w:rPr>
        <w:t xml:space="preserve"> </w:t>
      </w:r>
      <w:r w:rsidR="005E7BEE" w:rsidRPr="00D64DD8">
        <w:rPr>
          <w:rFonts w:ascii="Palatino Linotype" w:hAnsi="Palatino Linotype"/>
          <w:i/>
          <w:color w:val="000000"/>
        </w:rPr>
        <w:t xml:space="preserve"> </w:t>
      </w:r>
      <w:r w:rsidR="00987E5C" w:rsidRPr="00D64DD8">
        <w:rPr>
          <w:rFonts w:ascii="Palatino Linotype" w:hAnsi="Palatino Linotype"/>
          <w:i/>
          <w:color w:val="000000"/>
        </w:rPr>
        <w:t>“</w:t>
      </w:r>
      <w:r w:rsidRPr="00D64DD8">
        <w:rPr>
          <w:rFonts w:ascii="Palatino Linotype" w:hAnsi="Palatino Linotype"/>
          <w:i/>
          <w:color w:val="000000"/>
        </w:rPr>
        <w:t xml:space="preserve">Copia de los convenios que el ISSEMYM ha firmado con los municipios para reestructuración de deuda e importes pendientes de pago en el año 2015, 2016, 2017 y 2018”. </w:t>
      </w:r>
      <w:r w:rsidR="00C64E0E" w:rsidRPr="00D64DD8">
        <w:rPr>
          <w:rFonts w:ascii="Palatino Linotype" w:hAnsi="Palatino Linotype"/>
          <w:i/>
          <w:color w:val="000000"/>
        </w:rPr>
        <w:t xml:space="preserve"> (</w:t>
      </w:r>
      <w:r w:rsidR="00792776" w:rsidRPr="00D64DD8">
        <w:rPr>
          <w:rFonts w:ascii="Palatino Linotype" w:hAnsi="Palatino Linotype"/>
          <w:i/>
          <w:color w:val="000000"/>
        </w:rPr>
        <w:t>Sic)</w:t>
      </w:r>
    </w:p>
    <w:p w:rsidR="005D1CFC" w:rsidRDefault="005D1CFC" w:rsidP="00D95A22">
      <w:pPr>
        <w:spacing w:after="0" w:line="360" w:lineRule="auto"/>
        <w:ind w:left="426"/>
        <w:contextualSpacing/>
        <w:jc w:val="both"/>
        <w:rPr>
          <w:rFonts w:ascii="Palatino Linotype" w:eastAsia="Times New Roman" w:hAnsi="Palatino Linotype" w:cs="Arial"/>
          <w:b/>
          <w:bCs/>
          <w:sz w:val="24"/>
          <w:szCs w:val="24"/>
          <w:lang w:eastAsia="es-ES"/>
        </w:rPr>
      </w:pPr>
    </w:p>
    <w:p w:rsidR="005D1CFC" w:rsidRPr="00D64DD8" w:rsidRDefault="005D1CFC" w:rsidP="00D64DD8">
      <w:pPr>
        <w:pStyle w:val="Prrafodelista"/>
        <w:numPr>
          <w:ilvl w:val="0"/>
          <w:numId w:val="16"/>
        </w:numPr>
        <w:spacing w:after="0" w:line="360" w:lineRule="auto"/>
        <w:ind w:left="567" w:right="567" w:firstLine="0"/>
        <w:jc w:val="both"/>
        <w:rPr>
          <w:rFonts w:ascii="Palatino Linotype" w:eastAsia="Times New Roman" w:hAnsi="Palatino Linotype" w:cs="Arial"/>
          <w:b/>
          <w:bCs/>
          <w:sz w:val="24"/>
          <w:szCs w:val="24"/>
          <w:lang w:eastAsia="es-ES"/>
        </w:rPr>
      </w:pPr>
      <w:r w:rsidRPr="001C6D03">
        <w:rPr>
          <w:rFonts w:ascii="Palatino Linotype" w:eastAsia="Times New Roman" w:hAnsi="Palatino Linotype" w:cs="Arial"/>
          <w:b/>
          <w:bCs/>
          <w:sz w:val="24"/>
          <w:szCs w:val="24"/>
          <w:lang w:eastAsia="es-ES"/>
        </w:rPr>
        <w:t xml:space="preserve">00443/ISSEMYM/IP/2018: </w:t>
      </w:r>
      <w:r w:rsidR="00D64DD8">
        <w:rPr>
          <w:rFonts w:ascii="Palatino Linotype" w:eastAsia="Times New Roman" w:hAnsi="Palatino Linotype" w:cs="Arial"/>
          <w:b/>
          <w:bCs/>
          <w:sz w:val="24"/>
          <w:szCs w:val="24"/>
          <w:lang w:eastAsia="es-ES"/>
        </w:rPr>
        <w:t xml:space="preserve"> </w:t>
      </w:r>
      <w:r w:rsidRPr="00D64DD8">
        <w:rPr>
          <w:rFonts w:ascii="Palatino Linotype" w:hAnsi="Palatino Linotype"/>
          <w:i/>
          <w:color w:val="000000"/>
          <w:szCs w:val="14"/>
        </w:rPr>
        <w:t>“Copia de los convenios que el ISSEMYM ha firmado con los organismos Auxiliares Estatales, para reestructuración de deuda e importes pendientes de pago en los años 2015, 2016, 2017 y 2018” (Sic)</w:t>
      </w:r>
    </w:p>
    <w:p w:rsidR="005D1CFC" w:rsidRDefault="005D1CFC" w:rsidP="005176BA">
      <w:pPr>
        <w:spacing w:after="0" w:line="360" w:lineRule="auto"/>
        <w:ind w:left="567" w:right="567"/>
        <w:contextualSpacing/>
        <w:jc w:val="both"/>
        <w:rPr>
          <w:rFonts w:ascii="Palatino Linotype" w:hAnsi="Palatino Linotype"/>
          <w:i/>
          <w:color w:val="000000"/>
          <w:szCs w:val="14"/>
        </w:rPr>
      </w:pPr>
    </w:p>
    <w:p w:rsidR="008B7033" w:rsidRPr="00D64DD8" w:rsidRDefault="005D1CFC" w:rsidP="00D64DD8">
      <w:pPr>
        <w:pStyle w:val="Prrafodelista"/>
        <w:numPr>
          <w:ilvl w:val="0"/>
          <w:numId w:val="16"/>
        </w:numPr>
        <w:spacing w:after="0" w:line="360" w:lineRule="auto"/>
        <w:ind w:left="567" w:right="567" w:firstLine="0"/>
        <w:jc w:val="both"/>
        <w:rPr>
          <w:rFonts w:ascii="Palatino Linotype" w:eastAsia="Times New Roman" w:hAnsi="Palatino Linotype" w:cs="Arial"/>
          <w:b/>
          <w:bCs/>
          <w:sz w:val="24"/>
          <w:szCs w:val="24"/>
          <w:lang w:eastAsia="es-ES"/>
        </w:rPr>
      </w:pPr>
      <w:r w:rsidRPr="001C6D03">
        <w:rPr>
          <w:rFonts w:ascii="Palatino Linotype" w:eastAsia="Times New Roman" w:hAnsi="Palatino Linotype" w:cs="Arial"/>
          <w:b/>
          <w:bCs/>
          <w:sz w:val="24"/>
          <w:szCs w:val="24"/>
          <w:lang w:eastAsia="es-ES"/>
        </w:rPr>
        <w:t xml:space="preserve">00446/ISSEMYM/IP/2018: </w:t>
      </w:r>
      <w:r w:rsidR="00D64DD8">
        <w:rPr>
          <w:rFonts w:ascii="Palatino Linotype" w:eastAsia="Times New Roman" w:hAnsi="Palatino Linotype" w:cs="Arial"/>
          <w:b/>
          <w:bCs/>
          <w:sz w:val="24"/>
          <w:szCs w:val="24"/>
          <w:lang w:eastAsia="es-ES"/>
        </w:rPr>
        <w:t xml:space="preserve"> </w:t>
      </w:r>
      <w:r w:rsidRPr="00D64DD8">
        <w:rPr>
          <w:rFonts w:ascii="Palatino Linotype" w:eastAsia="Times New Roman" w:hAnsi="Palatino Linotype" w:cs="Arial"/>
          <w:bCs/>
          <w:i/>
          <w:szCs w:val="24"/>
          <w:lang w:eastAsia="es-ES"/>
        </w:rPr>
        <w:t xml:space="preserve">“Copia de los convenios que el ISSEMYM ha firmado con los Sistemas Municipales DIF, para reestructuración de deuda e importes pendientes de pago en los años 2015, 2016, 2017 y 2018”. (Sic) </w:t>
      </w:r>
    </w:p>
    <w:p w:rsidR="004653A7" w:rsidRDefault="004653A7" w:rsidP="005176BA">
      <w:pPr>
        <w:spacing w:after="0" w:line="360" w:lineRule="auto"/>
        <w:ind w:left="567" w:right="567"/>
        <w:contextualSpacing/>
        <w:jc w:val="both"/>
        <w:rPr>
          <w:rFonts w:ascii="Palatino Linotype" w:eastAsia="Times New Roman" w:hAnsi="Palatino Linotype" w:cs="Arial"/>
          <w:sz w:val="24"/>
          <w:szCs w:val="24"/>
          <w:lang w:val="es-ES" w:eastAsia="es-ES"/>
        </w:rPr>
      </w:pPr>
    </w:p>
    <w:p w:rsidR="00792776" w:rsidRPr="003E585E" w:rsidRDefault="005D1CFC" w:rsidP="00D95A2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 señaló</w:t>
      </w:r>
      <w:r w:rsidR="00792776" w:rsidRPr="003E585E">
        <w:rPr>
          <w:rFonts w:ascii="Palatino Linotype" w:eastAsia="Times New Roman" w:hAnsi="Palatino Linotype" w:cs="Arial"/>
          <w:sz w:val="24"/>
          <w:szCs w:val="24"/>
          <w:lang w:val="es-ES" w:eastAsia="es-ES"/>
        </w:rPr>
        <w:t xml:space="preserve"> como modalidad de entrega de la información</w:t>
      </w:r>
      <w:r w:rsidR="00792776" w:rsidRPr="003E585E">
        <w:rPr>
          <w:rFonts w:ascii="Palatino Linotype" w:eastAsia="Times New Roman" w:hAnsi="Palatino Linotype" w:cs="Arial"/>
          <w:b/>
          <w:sz w:val="24"/>
          <w:szCs w:val="24"/>
          <w:lang w:val="es-ES" w:eastAsia="es-ES"/>
        </w:rPr>
        <w:t>:</w:t>
      </w:r>
      <w:r w:rsidR="00792776" w:rsidRPr="003E585E">
        <w:rPr>
          <w:rFonts w:ascii="Palatino Linotype" w:eastAsia="Times New Roman" w:hAnsi="Palatino Linotype" w:cs="Arial"/>
          <w:sz w:val="24"/>
          <w:szCs w:val="24"/>
          <w:lang w:val="es-ES" w:eastAsia="es-ES"/>
        </w:rPr>
        <w:t xml:space="preserve"> </w:t>
      </w:r>
      <w:r w:rsidR="00792776" w:rsidRPr="003E585E">
        <w:rPr>
          <w:rFonts w:ascii="Palatino Linotype" w:eastAsia="Times New Roman" w:hAnsi="Palatino Linotype" w:cs="Arial"/>
          <w:b/>
          <w:sz w:val="24"/>
          <w:szCs w:val="24"/>
          <w:lang w:val="es-ES" w:eastAsia="es-ES"/>
        </w:rPr>
        <w:t>a través del SAIMEX</w:t>
      </w:r>
      <w:r w:rsidR="00792776" w:rsidRPr="003E585E">
        <w:rPr>
          <w:rFonts w:ascii="Palatino Linotype" w:eastAsia="MS Mincho" w:hAnsi="Palatino Linotype" w:cs="Times New Roman"/>
          <w:b/>
          <w:color w:val="000000"/>
          <w:sz w:val="24"/>
          <w:szCs w:val="14"/>
          <w:lang w:val="es-ES_tradnl" w:eastAsia="es-ES"/>
        </w:rPr>
        <w:t>.</w:t>
      </w:r>
    </w:p>
    <w:p w:rsidR="00792776" w:rsidRPr="003E585E" w:rsidRDefault="00792776" w:rsidP="00D95A22">
      <w:pPr>
        <w:spacing w:after="0" w:line="360" w:lineRule="auto"/>
        <w:ind w:left="720"/>
        <w:contextualSpacing/>
        <w:rPr>
          <w:rFonts w:ascii="Palatino Linotype" w:eastAsia="Times New Roman" w:hAnsi="Palatino Linotype" w:cs="Arial"/>
          <w:sz w:val="24"/>
          <w:szCs w:val="24"/>
          <w:lang w:val="es-ES" w:eastAsia="es-ES"/>
        </w:rPr>
      </w:pPr>
    </w:p>
    <w:p w:rsidR="00792776" w:rsidRPr="002A6380" w:rsidRDefault="00792776" w:rsidP="00F5524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A6380">
        <w:rPr>
          <w:rFonts w:ascii="Palatino Linotype" w:eastAsia="Calibri" w:hAnsi="Palatino Linotype" w:cs="Arial"/>
          <w:sz w:val="24"/>
          <w:szCs w:val="24"/>
          <w:lang w:val="es-ES" w:eastAsia="es-ES"/>
        </w:rPr>
        <w:t xml:space="preserve">EI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4A3422" w:rsidRPr="002A6380">
        <w:rPr>
          <w:rFonts w:ascii="Palatino Linotype" w:eastAsia="Calibri" w:hAnsi="Palatino Linotype" w:cs="Arial"/>
          <w:sz w:val="24"/>
          <w:szCs w:val="24"/>
          <w:lang w:val="es-ES" w:eastAsia="es-ES"/>
        </w:rPr>
        <w:t xml:space="preserve"> tres (03) de septiembre de 2018 solicitó una ampliación de plazo</w:t>
      </w:r>
      <w:r w:rsidR="002A6380" w:rsidRPr="002A6380">
        <w:rPr>
          <w:rFonts w:ascii="Palatino Linotype" w:eastAsia="Calibri" w:hAnsi="Palatino Linotype" w:cs="Arial"/>
          <w:sz w:val="24"/>
          <w:szCs w:val="24"/>
          <w:lang w:val="es-ES" w:eastAsia="es-ES"/>
        </w:rPr>
        <w:t xml:space="preserve"> en los expedientes citados al rubro</w:t>
      </w:r>
      <w:r w:rsidR="004A3422" w:rsidRPr="002A6380">
        <w:rPr>
          <w:rFonts w:ascii="Palatino Linotype" w:eastAsia="Calibri" w:hAnsi="Palatino Linotype" w:cs="Arial"/>
          <w:sz w:val="24"/>
          <w:szCs w:val="24"/>
          <w:lang w:val="es-ES" w:eastAsia="es-ES"/>
        </w:rPr>
        <w:t xml:space="preserve"> y anexó </w:t>
      </w:r>
      <w:r w:rsidR="002A6380" w:rsidRPr="002A6380">
        <w:rPr>
          <w:rFonts w:ascii="Palatino Linotype" w:eastAsia="Calibri" w:hAnsi="Palatino Linotype" w:cs="Arial"/>
          <w:sz w:val="24"/>
          <w:szCs w:val="24"/>
          <w:lang w:val="es-ES" w:eastAsia="es-ES"/>
        </w:rPr>
        <w:t xml:space="preserve">en cada uno de ellos </w:t>
      </w:r>
      <w:r w:rsidR="004A3422" w:rsidRPr="002A6380">
        <w:rPr>
          <w:rFonts w:ascii="Palatino Linotype" w:eastAsia="Calibri" w:hAnsi="Palatino Linotype" w:cs="Arial"/>
          <w:sz w:val="24"/>
          <w:szCs w:val="24"/>
          <w:lang w:val="es-ES" w:eastAsia="es-ES"/>
        </w:rPr>
        <w:t xml:space="preserve">el acuerdo de ampliación </w:t>
      </w:r>
      <w:r w:rsidR="002A6380" w:rsidRPr="002A6380">
        <w:rPr>
          <w:rFonts w:ascii="Palatino Linotype" w:eastAsia="Calibri" w:hAnsi="Palatino Linotype" w:cs="Arial"/>
          <w:sz w:val="24"/>
          <w:szCs w:val="24"/>
          <w:lang w:val="es-ES" w:eastAsia="es-ES"/>
        </w:rPr>
        <w:t xml:space="preserve">correspondiente. </w:t>
      </w:r>
    </w:p>
    <w:p w:rsidR="00792776" w:rsidRPr="003E585E" w:rsidRDefault="00792776" w:rsidP="00D95A22">
      <w:pPr>
        <w:spacing w:after="0" w:line="360" w:lineRule="auto"/>
        <w:ind w:right="34"/>
        <w:contextualSpacing/>
        <w:jc w:val="both"/>
        <w:rPr>
          <w:rFonts w:ascii="Palatino Linotype" w:eastAsia="Times New Roman" w:hAnsi="Palatino Linotype" w:cs="Arial"/>
          <w:sz w:val="24"/>
          <w:szCs w:val="24"/>
          <w:lang w:val="es-ES" w:eastAsia="es-ES"/>
        </w:rPr>
      </w:pPr>
    </w:p>
    <w:p w:rsidR="002C6BBC" w:rsidRPr="002C6BBC" w:rsidRDefault="002C6BBC" w:rsidP="00F55249">
      <w:pPr>
        <w:numPr>
          <w:ilvl w:val="0"/>
          <w:numId w:val="2"/>
        </w:numPr>
        <w:spacing w:after="0" w:line="360" w:lineRule="auto"/>
        <w:ind w:left="0" w:firstLine="0"/>
        <w:contextualSpacing/>
        <w:jc w:val="both"/>
        <w:rPr>
          <w:rFonts w:ascii="Palatino Linotype" w:eastAsia="MS Mincho" w:hAnsi="Palatino Linotype" w:cs="Arial"/>
          <w:b/>
          <w:i/>
          <w:lang w:val="es-ES_tradnl" w:eastAsia="es-ES"/>
        </w:rPr>
      </w:pPr>
      <w:r>
        <w:rPr>
          <w:rFonts w:ascii="Palatino Linotype" w:eastAsia="MS Mincho" w:hAnsi="Palatino Linotype" w:cs="Arial"/>
          <w:sz w:val="24"/>
          <w:lang w:val="es-ES_tradnl" w:eastAsia="es-ES"/>
        </w:rPr>
        <w:t xml:space="preserve">En fecha doce (12) de septiembre, el </w:t>
      </w:r>
      <w:r w:rsidRPr="002C6BBC">
        <w:rPr>
          <w:rFonts w:ascii="Palatino Linotype" w:eastAsia="MS Mincho" w:hAnsi="Palatino Linotype" w:cs="Arial"/>
          <w:b/>
          <w:sz w:val="24"/>
          <w:lang w:val="es-ES_tradnl" w:eastAsia="es-ES"/>
        </w:rPr>
        <w:t xml:space="preserve">SUJETO OBLIGADO </w:t>
      </w:r>
      <w:r>
        <w:rPr>
          <w:rFonts w:ascii="Palatino Linotype" w:eastAsia="MS Mincho" w:hAnsi="Palatino Linotype" w:cs="Arial"/>
          <w:sz w:val="24"/>
          <w:lang w:val="es-ES_tradnl" w:eastAsia="es-ES"/>
        </w:rPr>
        <w:t xml:space="preserve">emitió respuesta en los tres expedientes objetos de la presente resolución, y la cual será analizada en el estudio posterior. </w:t>
      </w:r>
    </w:p>
    <w:p w:rsidR="002C6BBC" w:rsidRPr="002C6BBC" w:rsidRDefault="002C6BBC" w:rsidP="00D95A22">
      <w:pPr>
        <w:spacing w:after="0" w:line="360" w:lineRule="auto"/>
        <w:ind w:left="426"/>
        <w:contextualSpacing/>
        <w:jc w:val="both"/>
        <w:rPr>
          <w:rFonts w:ascii="Palatino Linotype" w:eastAsia="MS Mincho" w:hAnsi="Palatino Linotype" w:cs="Arial"/>
          <w:i/>
          <w:lang w:val="es-ES_tradnl" w:eastAsia="es-ES"/>
        </w:rPr>
      </w:pPr>
    </w:p>
    <w:p w:rsidR="002C6BBC" w:rsidRPr="002C6BBC" w:rsidRDefault="002C6BBC" w:rsidP="00F55249">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t>El particular, en fecha diecisiete (17) de septiembre del presente año, estando en tiempo y forma, interpuso los recursos de revisión que al rubro se indican, en contra de las respuestas del sujeto obligado, señalando lo siguiente:</w:t>
      </w:r>
    </w:p>
    <w:p w:rsidR="002C6BBC" w:rsidRDefault="002C6BBC" w:rsidP="00D95A22">
      <w:pPr>
        <w:pStyle w:val="Prrafodelista"/>
        <w:spacing w:line="360" w:lineRule="auto"/>
        <w:rPr>
          <w:rFonts w:ascii="Palatino Linotype" w:eastAsia="Times New Roman" w:hAnsi="Palatino Linotype" w:cs="Arial"/>
          <w:sz w:val="24"/>
          <w:szCs w:val="24"/>
          <w:lang w:val="es-ES" w:eastAsia="es-ES"/>
        </w:rPr>
      </w:pPr>
    </w:p>
    <w:p w:rsidR="004F6F41" w:rsidRDefault="004F6F41" w:rsidP="00D95A22">
      <w:pPr>
        <w:pStyle w:val="Prrafodelista"/>
        <w:spacing w:line="360" w:lineRule="auto"/>
        <w:rPr>
          <w:rFonts w:ascii="Palatino Linotype" w:eastAsia="Times New Roman" w:hAnsi="Palatino Linotype" w:cs="Arial"/>
          <w:sz w:val="24"/>
          <w:szCs w:val="24"/>
          <w:lang w:val="es-ES" w:eastAsia="es-ES"/>
        </w:rPr>
      </w:pPr>
    </w:p>
    <w:p w:rsidR="002C6BBC" w:rsidRDefault="005D1CFC" w:rsidP="00F55249">
      <w:pPr>
        <w:tabs>
          <w:tab w:val="left" w:pos="8647"/>
        </w:tabs>
        <w:spacing w:after="0" w:line="360" w:lineRule="auto"/>
        <w:ind w:left="567" w:right="567"/>
        <w:contextualSpacing/>
        <w:jc w:val="both"/>
        <w:rPr>
          <w:rFonts w:ascii="Palatino Linotype" w:eastAsia="Times New Roman" w:hAnsi="Palatino Linotype" w:cs="Arial"/>
          <w:b/>
          <w:bCs/>
          <w:sz w:val="24"/>
          <w:szCs w:val="24"/>
          <w:lang w:eastAsia="es-ES"/>
        </w:rPr>
      </w:pPr>
      <w:r>
        <w:rPr>
          <w:rFonts w:ascii="Palatino Linotype" w:eastAsia="Times New Roman" w:hAnsi="Palatino Linotype" w:cs="Arial"/>
          <w:b/>
          <w:bCs/>
          <w:sz w:val="24"/>
          <w:szCs w:val="24"/>
          <w:lang w:eastAsia="es-ES"/>
        </w:rPr>
        <w:t>00441</w:t>
      </w:r>
      <w:r w:rsidR="002C6BBC">
        <w:rPr>
          <w:rFonts w:ascii="Palatino Linotype" w:eastAsia="Times New Roman" w:hAnsi="Palatino Linotype" w:cs="Arial"/>
          <w:b/>
          <w:bCs/>
          <w:sz w:val="24"/>
          <w:szCs w:val="24"/>
          <w:lang w:eastAsia="es-ES"/>
        </w:rPr>
        <w:t>/</w:t>
      </w:r>
      <w:r>
        <w:rPr>
          <w:rFonts w:ascii="Palatino Linotype" w:eastAsia="Times New Roman" w:hAnsi="Palatino Linotype" w:cs="Arial"/>
          <w:b/>
          <w:bCs/>
          <w:sz w:val="24"/>
          <w:szCs w:val="24"/>
          <w:lang w:eastAsia="es-ES"/>
        </w:rPr>
        <w:t>ISSEMYM</w:t>
      </w:r>
      <w:r w:rsidR="002C6BBC">
        <w:rPr>
          <w:rFonts w:ascii="Palatino Linotype" w:eastAsia="Times New Roman" w:hAnsi="Palatino Linotype" w:cs="Arial"/>
          <w:b/>
          <w:bCs/>
          <w:sz w:val="24"/>
          <w:szCs w:val="24"/>
          <w:lang w:eastAsia="es-ES"/>
        </w:rPr>
        <w:t>/IP/</w:t>
      </w:r>
      <w:r>
        <w:rPr>
          <w:rFonts w:ascii="Palatino Linotype" w:eastAsia="Times New Roman" w:hAnsi="Palatino Linotype" w:cs="Arial"/>
          <w:b/>
          <w:bCs/>
          <w:sz w:val="24"/>
          <w:szCs w:val="24"/>
          <w:lang w:eastAsia="es-ES"/>
        </w:rPr>
        <w:t>2</w:t>
      </w:r>
      <w:r w:rsidR="002C6BBC">
        <w:rPr>
          <w:rFonts w:ascii="Palatino Linotype" w:eastAsia="Times New Roman" w:hAnsi="Palatino Linotype" w:cs="Arial"/>
          <w:b/>
          <w:bCs/>
          <w:sz w:val="24"/>
          <w:szCs w:val="24"/>
          <w:lang w:eastAsia="es-ES"/>
        </w:rPr>
        <w:t xml:space="preserve">018. </w:t>
      </w:r>
    </w:p>
    <w:p w:rsidR="002C6BBC" w:rsidRPr="003E585E" w:rsidRDefault="002C6BBC" w:rsidP="00F55249">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AB56C1" w:rsidRDefault="00792776" w:rsidP="00F55249">
      <w:pPr>
        <w:numPr>
          <w:ilvl w:val="0"/>
          <w:numId w:val="3"/>
        </w:numPr>
        <w:tabs>
          <w:tab w:val="left" w:pos="8647"/>
        </w:tabs>
        <w:spacing w:after="0" w:line="360" w:lineRule="auto"/>
        <w:ind w:left="567" w:right="567"/>
        <w:contextualSpacing/>
        <w:jc w:val="both"/>
        <w:rPr>
          <w:rFonts w:ascii="Palatino Linotype" w:eastAsia="MS Mincho" w:hAnsi="Palatino Linotype" w:cs="Times New Roman"/>
          <w:i/>
          <w:lang w:val="es-ES_tradnl" w:eastAsia="es-ES"/>
        </w:rPr>
      </w:pPr>
      <w:r w:rsidRPr="00C07697">
        <w:rPr>
          <w:rFonts w:ascii="Palatino Linotype" w:eastAsia="MS Gothic" w:hAnsi="Palatino Linotype" w:cs="Times New Roman"/>
          <w:b/>
          <w:sz w:val="24"/>
          <w:szCs w:val="26"/>
          <w:lang w:val="es-ES"/>
        </w:rPr>
        <w:t>Acto impugnado</w:t>
      </w:r>
      <w:r w:rsidRPr="00C07697">
        <w:rPr>
          <w:rFonts w:ascii="Palatino Linotype" w:eastAsia="MS Mincho" w:hAnsi="Palatino Linotype" w:cs="Times New Roman"/>
          <w:lang w:val="es-ES_tradnl" w:eastAsia="es-ES"/>
        </w:rPr>
        <w:t>: “</w:t>
      </w:r>
      <w:r w:rsidR="002C6BBC" w:rsidRPr="002C6BBC">
        <w:rPr>
          <w:rFonts w:ascii="Palatino Linotype" w:eastAsia="MS Mincho" w:hAnsi="Palatino Linotype" w:cs="Times New Roman"/>
          <w:i/>
          <w:lang w:eastAsia="es-ES"/>
        </w:rPr>
        <w:t>El ISSEMYM me negó la información que solicité y para ello la clasifico como reservada por 5 años. la información solicitada es: 00441/ISSEMYM/IP/2018 Copia de los convenios que el ISSEMYM ha firmado con los municipios para reestructuración de deuda e importes pendientes de pago en</w:t>
      </w:r>
      <w:r w:rsidR="002C6BBC">
        <w:rPr>
          <w:rFonts w:ascii="Palatino Linotype" w:eastAsia="MS Mincho" w:hAnsi="Palatino Linotype" w:cs="Times New Roman"/>
          <w:i/>
          <w:lang w:eastAsia="es-ES"/>
        </w:rPr>
        <w:t xml:space="preserve"> el año 2015, 2016, 2017 y 2018</w:t>
      </w:r>
      <w:r w:rsidRPr="00AB56C1">
        <w:rPr>
          <w:rFonts w:ascii="Palatino Linotype" w:eastAsia="MS Mincho" w:hAnsi="Palatino Linotype" w:cs="Times New Roman"/>
          <w:i/>
          <w:lang w:val="es-ES_tradnl" w:eastAsia="es-ES"/>
        </w:rPr>
        <w:t>”</w:t>
      </w:r>
      <w:r w:rsidR="004653A7" w:rsidRPr="00AB56C1">
        <w:rPr>
          <w:rFonts w:ascii="Palatino Linotype" w:eastAsia="MS Mincho" w:hAnsi="Palatino Linotype" w:cs="Times New Roman"/>
          <w:i/>
          <w:lang w:val="es-ES_tradnl" w:eastAsia="es-ES"/>
        </w:rPr>
        <w:t xml:space="preserve">. </w:t>
      </w:r>
      <w:r w:rsidRPr="00AB56C1">
        <w:rPr>
          <w:rFonts w:ascii="Palatino Linotype" w:eastAsia="MS Mincho" w:hAnsi="Palatino Linotype" w:cs="Times New Roman"/>
          <w:i/>
          <w:lang w:val="es-ES_tradnl" w:eastAsia="es-ES"/>
        </w:rPr>
        <w:t>(Sic)</w:t>
      </w:r>
    </w:p>
    <w:p w:rsidR="00A612C0" w:rsidRPr="00C07697" w:rsidRDefault="00A612C0" w:rsidP="00F55249">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5D1CFC" w:rsidRDefault="00792776" w:rsidP="004F6F41">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C07697">
        <w:rPr>
          <w:rFonts w:ascii="Palatino Linotype" w:eastAsia="MS Gothic" w:hAnsi="Palatino Linotype" w:cs="Times New Roman"/>
          <w:b/>
          <w:sz w:val="24"/>
          <w:szCs w:val="26"/>
          <w:lang w:val="es-ES"/>
        </w:rPr>
        <w:t>Razones o Motivos de inconformidad</w:t>
      </w:r>
      <w:r w:rsidRPr="00C07697">
        <w:rPr>
          <w:rFonts w:ascii="Palatino Linotype" w:eastAsia="MS Mincho" w:hAnsi="Palatino Linotype" w:cs="Times New Roman"/>
          <w:lang w:val="es-ES_tradnl" w:eastAsia="es-ES"/>
        </w:rPr>
        <w:t>: “</w:t>
      </w:r>
      <w:r w:rsidR="002C6BBC" w:rsidRPr="002C6BBC">
        <w:rPr>
          <w:rFonts w:ascii="Palatino Linotype" w:eastAsia="MS Mincho" w:hAnsi="Palatino Linotype" w:cs="Times New Roman"/>
          <w:i/>
          <w:lang w:eastAsia="es-ES"/>
        </w:rPr>
        <w:t xml:space="preserve">Con fecha 3 de septiembre de 2018 se me informa que mi solicitud de información fue prorrogada por 7 días en virtud de: “…Este comité de transparencia aprueba la ampliación del plazo por 7 días hábiles, para dar respuesta a la solicitud de información pública 00441/ISSEMYM/IP/2018 para la integración de dicha información…” El 12 de septiembre no recibí la información solicitada y que el ISSEMYM manifestó el día 3 de septiembre que requería 7 días más para integrarla. Lo que se me dio como respuesta fue una aprobación de clasificación como reservada, según lo contenido en la resolución de transparencia No.: CT/ISSEMYM-A01-35E/2018, en donde se utilizó de manera indebida y a todas luces dolosa la Ley de Transparencia y Acceso a la Información Pública del Estado de México y Municipios, utilizando como fundamento el articulo 3 fracciones XX, XXIV y XXXIII, 128 y 140fracciones V numerales 1 y 2, VI y X. reservándola por un periodo de 5 años, ya que según el ISSEMYM, puede causar “un daño serio a las actividades de fiscalización, verificación, inspección, de recaudación de contribuciones”. En un análisis de lo que se me da como respuesta, se advierte que el ISSEMYM está violentando la Ley </w:t>
      </w:r>
      <w:r w:rsidR="002C6BBC" w:rsidRPr="002C6BBC">
        <w:rPr>
          <w:rFonts w:ascii="Palatino Linotype" w:eastAsia="MS Mincho" w:hAnsi="Palatino Linotype" w:cs="Times New Roman"/>
          <w:i/>
          <w:lang w:eastAsia="es-ES"/>
        </w:rPr>
        <w:lastRenderedPageBreak/>
        <w:t xml:space="preserve">que cita, así como cada uno de los artículos, fracciones y numerales que utiliza como fundamento para no darme la información que solicito, además los artículos 129, 130. Lo explico: El ISSEMYM solo citó artículos, fracciones y numerales, pero no señaló las razones, motivos o circunstancias especiales que lo llevaron a concluir que el caso particular se ajustara al supuesto previsto por la norma legal invocada como fundamento. Además, no cumplió con el deber que le impone la Ley citada de que, en todo momento, debe aplicar una prueba de daño. Tal como se establece en el Artículo 128. Cuando utiliza el Artículo 140, que señala que “El acceso a la información pública será restringido excepcionalmente, cuando por razones de interés público, ésta sea clasificada como reservada, conforme a los criterios siguientes: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pero después de citar lo anterior no expone ni prueba cuales son las razones de interés público que justifican clasificar la información como reservada, no expone ni demuestra prueba de daño, de cómo la divulgación de la información obstruiría algo o causaría un serio perjuicio a las actividades de fiscalización, verificación, inspección, comprobación y auditoría sobre el cumplimiento de las Leyes, así como en la recaudación de las contribuciones. De igual manera tampoco </w:t>
      </w:r>
      <w:r w:rsidR="002C6BBC" w:rsidRPr="002C6BBC">
        <w:rPr>
          <w:rFonts w:ascii="Palatino Linotype" w:eastAsia="MS Mincho" w:hAnsi="Palatino Linotype" w:cs="Times New Roman"/>
          <w:i/>
          <w:lang w:eastAsia="es-ES"/>
        </w:rPr>
        <w:lastRenderedPageBreak/>
        <w:t xml:space="preserve">describió ni aportó prueba de daño cuando refiere que al entregar la información solicitada se podría causar daño u obstruir la prevención o persecución de delitos, alteración en el proceso de investigación de las carpetas de investigación, afectar o vulnerar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Por lo anterior aludo al Artículo 129 de la misma Ley que en este caso obliga al ISSEMYM a aplicar la prueba de daño, que como es evidente no cumplió, pero que se establece que debió haber sido de la siguiente manera: En la aplicación de la prueba de daño, el sujeto obligado deberá precisar las razones objetivas por las que la apertura de la información generaría una afectación, justificando que: I. La divulgación de la información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para evitar el perjuicio. En cuanto al reservar la información 5 años, se violenta el Artículo 130.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 El ISSEMYM violenta el artículo 3 fracción XXXIII “Prueba de Daño: Responsabilidad de los sujetos obligados de demostrar de manera fundada y motivada que la divulgación de información lesiona el interés jurídicamente </w:t>
      </w:r>
      <w:r w:rsidR="002C6BBC" w:rsidRPr="002C6BBC">
        <w:rPr>
          <w:rFonts w:ascii="Palatino Linotype" w:eastAsia="MS Mincho" w:hAnsi="Palatino Linotype" w:cs="Times New Roman"/>
          <w:i/>
          <w:lang w:eastAsia="es-ES"/>
        </w:rPr>
        <w:lastRenderedPageBreak/>
        <w:t xml:space="preserve">protegido por la Ley, y que el menoscabo o daño que puede producirse con la publicidad de la información es mayor que el interés de conocerla y por consiguiente debe clasificarse como reservada;” Artículo 142. Bajo ninguna circunstancia podrá invocarse el carácter de reservado cuando: …IV. Se trate de información relacionada con actos de corrupción de conformidad con las disposiciones jurídicas aplicables. Es por ello que en este momento es prudente evidenciar como la publicación de la información negada producirá un mayor beneficio que el reservarla. Actualmente ha sido documentado que 150 instituciones públicas deben al ISSEMYM, como se podrá corroborar en la nota de investigación periodística respaldada por documentos obtenidos a través del SAIMEX “150 instituciones públicas deben al ISSEMYM, la UAEM en primer lugar” https://prensa-de-universitarios-activistas-em.com/2018/09/05/150-instituciones-publicas-deben-al-issemym-la-uaem-en-primer-lugar/, tales adeudos han sido documentados desde años anteriores pero es ante la nueva “Ley del ISSEMYM” que el tema de los adeudos ha tomado alto interés en el interés público, sobretodo porque la mayoría de los trabajadores del Estado a quienes se les ha retenido puntualmente sus cuotas han descubierto que no han llegado en tiempo y forma al ISSEMYM. Por ejemplo, en el caso de la UAEM se documentó que durante casi dos años consecutivos no entregó ni un solo peso al ISSEMYM, pero el Instituto no tomó las acciones legales correspondientes para garantizar el cumplimiento de las obligaciones de Seguridad Social de la UAEM. El hecho de que 150 instituciones públicas deban al ISSEMYM un monto que rebasa los 3 mil millones de pesos sí obstruye y causa un serio perjuicio a la recaudación de las contribuciones, con la posible colaboración, por omisión y/o negligencia del ISSEMYM. Es por lo anterior que la divulgación de los convenios que el ISSEMYM ha firmado con los municipios para reestructuración de deuda e importes pendientes de pago en el año 2015, 2016, 2017 y 2018, son fundamentales para que el </w:t>
      </w:r>
      <w:r w:rsidR="002C6BBC" w:rsidRPr="002C6BBC">
        <w:rPr>
          <w:rFonts w:ascii="Palatino Linotype" w:eastAsia="MS Mincho" w:hAnsi="Palatino Linotype" w:cs="Times New Roman"/>
          <w:i/>
          <w:lang w:eastAsia="es-ES"/>
        </w:rPr>
        <w:lastRenderedPageBreak/>
        <w:t>público sepa que el ISSEMYM está haciendo lo pertinente para garantizar que la recaudación de las contribuciones desviadas en el camino, lleguen a donde deben de estar, en las cuentas bancarias del ISSEMYM. Es importante retomar algunos fragmentos de la exposición de motivos de la Ley De Transparencia Y Acceso A La Información Pública Del Estado De México Y Municipios, que fortalecen la pertinencia de que se me garantice mi derecho a la información: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 Sólo a través del acceso a la información que genera el Estado es posible que los ciudadanos puedan saber si se está dando cumplimiento adecuado a las funciones públicas, así como los beneficios sociales de los programas y actividades desarrolladas. En tal virtud, el reconocimiento de la prerrogativa de acceso a la información como derecho humano constituye un importante avance constitucional, que necesita el soporte legal de legislación local secundaria para convertirlo en un derecho efectivo y vigente, eliminando todo obstáculo que impida su materialización plena.” Solicitudes de información pública como la que hoy solicito dejarán constancia sobre el avance o retroceso de la cultura de transparencia, acceso a la información pública y rendición de cuentas en el Estado de México. Mi esperanza está en que se eliminen los obstáculos que nos impidan caminar hacia adelante.</w:t>
      </w:r>
      <w:r w:rsidR="009C789B" w:rsidRPr="00AB56C1">
        <w:rPr>
          <w:rFonts w:ascii="Palatino Linotype" w:eastAsia="MS Mincho" w:hAnsi="Palatino Linotype" w:cs="Times New Roman"/>
          <w:i/>
          <w:lang w:eastAsia="es-ES"/>
        </w:rPr>
        <w:t xml:space="preserve"> </w:t>
      </w:r>
      <w:r w:rsidR="00960D99" w:rsidRPr="00AB56C1">
        <w:rPr>
          <w:rFonts w:ascii="Palatino Linotype" w:eastAsia="MS Mincho" w:hAnsi="Palatino Linotype" w:cs="Times New Roman"/>
          <w:i/>
          <w:lang w:eastAsia="es-ES"/>
        </w:rPr>
        <w:t xml:space="preserve"> </w:t>
      </w:r>
      <w:r w:rsidRPr="00AB56C1">
        <w:rPr>
          <w:rFonts w:ascii="Palatino Linotype" w:eastAsia="MS Mincho" w:hAnsi="Palatino Linotype" w:cs="Times New Roman"/>
          <w:i/>
          <w:lang w:val="es-ES_tradnl" w:eastAsia="es-ES"/>
        </w:rPr>
        <w:t>“ (Sic)</w:t>
      </w:r>
      <w:r w:rsidR="009C789B" w:rsidRPr="00C07697">
        <w:rPr>
          <w:rFonts w:ascii="Palatino Linotype" w:eastAsia="MS Mincho" w:hAnsi="Palatino Linotype" w:cs="Times New Roman"/>
          <w:lang w:val="es-ES_tradnl" w:eastAsia="es-ES"/>
        </w:rPr>
        <w:t xml:space="preserve"> </w:t>
      </w:r>
    </w:p>
    <w:p w:rsidR="004F6F41" w:rsidRDefault="004F6F41" w:rsidP="004F6F41">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4F6F41" w:rsidRDefault="004F6F41" w:rsidP="004F6F41">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4F6F41" w:rsidRDefault="004F6F41" w:rsidP="004F6F41">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4F6F41" w:rsidRPr="004F6F41" w:rsidRDefault="004F6F41" w:rsidP="004F6F41">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5D1CFC" w:rsidRDefault="005D1CFC" w:rsidP="00F55249">
      <w:pPr>
        <w:spacing w:after="0" w:line="360" w:lineRule="auto"/>
        <w:ind w:left="567" w:right="567"/>
        <w:contextualSpacing/>
        <w:jc w:val="both"/>
        <w:rPr>
          <w:rFonts w:ascii="Palatino Linotype" w:eastAsia="Times New Roman" w:hAnsi="Palatino Linotype" w:cs="Arial"/>
          <w:b/>
          <w:bCs/>
          <w:sz w:val="24"/>
          <w:szCs w:val="24"/>
          <w:lang w:eastAsia="es-ES"/>
        </w:rPr>
      </w:pPr>
      <w:r>
        <w:rPr>
          <w:rFonts w:ascii="Palatino Linotype" w:eastAsia="Times New Roman" w:hAnsi="Palatino Linotype" w:cs="Arial"/>
          <w:b/>
          <w:bCs/>
          <w:sz w:val="24"/>
          <w:szCs w:val="24"/>
          <w:lang w:eastAsia="es-ES"/>
        </w:rPr>
        <w:t>00443/ISSEMYM/IP/2018.</w:t>
      </w:r>
    </w:p>
    <w:p w:rsidR="005D1CFC" w:rsidRDefault="005D1CFC" w:rsidP="00F55249">
      <w:pPr>
        <w:spacing w:after="0" w:line="360" w:lineRule="auto"/>
        <w:ind w:left="567" w:right="567"/>
        <w:contextualSpacing/>
        <w:jc w:val="both"/>
        <w:rPr>
          <w:rFonts w:ascii="Palatino Linotype" w:eastAsia="Times New Roman" w:hAnsi="Palatino Linotype" w:cs="Arial"/>
          <w:b/>
          <w:bCs/>
          <w:sz w:val="24"/>
          <w:szCs w:val="24"/>
          <w:lang w:eastAsia="es-ES"/>
        </w:rPr>
      </w:pPr>
    </w:p>
    <w:p w:rsidR="005D1CFC" w:rsidRPr="005D1CFC" w:rsidRDefault="005D1CFC" w:rsidP="00F55249">
      <w:pPr>
        <w:pStyle w:val="Prrafodelista"/>
        <w:numPr>
          <w:ilvl w:val="0"/>
          <w:numId w:val="1"/>
        </w:numPr>
        <w:spacing w:after="0" w:line="360" w:lineRule="auto"/>
        <w:ind w:left="567"/>
        <w:jc w:val="both"/>
        <w:rPr>
          <w:rFonts w:ascii="Palatino Linotype" w:eastAsia="MS Mincho" w:hAnsi="Palatino Linotype" w:cs="Times New Roman"/>
          <w:i/>
          <w:lang w:eastAsia="es-ES"/>
        </w:rPr>
      </w:pPr>
      <w:r w:rsidRPr="005D1CFC">
        <w:rPr>
          <w:rFonts w:ascii="Palatino Linotype" w:eastAsia="MS Gothic" w:hAnsi="Palatino Linotype" w:cs="Times New Roman"/>
          <w:b/>
          <w:sz w:val="24"/>
          <w:szCs w:val="26"/>
          <w:lang w:val="es-ES"/>
        </w:rPr>
        <w:t>Acto impugnado</w:t>
      </w:r>
      <w:r w:rsidRPr="005D1CFC">
        <w:rPr>
          <w:rFonts w:ascii="Palatino Linotype" w:eastAsia="MS Mincho" w:hAnsi="Palatino Linotype" w:cs="Times New Roman"/>
          <w:lang w:val="es-ES_tradnl" w:eastAsia="es-ES"/>
        </w:rPr>
        <w:t>: “</w:t>
      </w:r>
      <w:r w:rsidRPr="005D1CFC">
        <w:rPr>
          <w:rFonts w:ascii="Palatino Linotype" w:eastAsia="MS Mincho" w:hAnsi="Palatino Linotype" w:cs="Times New Roman"/>
          <w:i/>
          <w:lang w:eastAsia="es-ES"/>
        </w:rPr>
        <w:t xml:space="preserve">El ISSEMYM me negó la información que pedí e través de la solicitud 00443/ISSEMYM/IP/2018 que consiste en: Copia de los convenios que el ISSEMYM ha firmado con los organismos Auxiliares Estatales, para reestructuración de deuda e importes pendientes de pago en los años 2015, 2016, 2017 y 2018. Para no darme la información clasificó la información indebidamente como reservada por 5 años”. (Sic) </w:t>
      </w:r>
    </w:p>
    <w:p w:rsidR="005D1CFC" w:rsidRDefault="005D1CFC" w:rsidP="00F55249">
      <w:pPr>
        <w:spacing w:after="0" w:line="360" w:lineRule="auto"/>
        <w:ind w:left="567"/>
        <w:contextualSpacing/>
        <w:jc w:val="both"/>
        <w:rPr>
          <w:rFonts w:ascii="Palatino Linotype" w:eastAsia="MS Mincho" w:hAnsi="Palatino Linotype" w:cs="Times New Roman"/>
          <w:lang w:val="es-ES_tradnl" w:eastAsia="es-ES"/>
        </w:rPr>
      </w:pPr>
    </w:p>
    <w:p w:rsidR="005D1CFC" w:rsidRPr="005D1CFC" w:rsidRDefault="005D1CFC" w:rsidP="00F55249">
      <w:pPr>
        <w:pStyle w:val="Prrafodelista"/>
        <w:numPr>
          <w:ilvl w:val="0"/>
          <w:numId w:val="1"/>
        </w:numPr>
        <w:spacing w:after="0" w:line="360" w:lineRule="auto"/>
        <w:ind w:left="567"/>
        <w:jc w:val="both"/>
        <w:rPr>
          <w:rFonts w:ascii="Palatino Linotype" w:eastAsia="MS Mincho" w:hAnsi="Palatino Linotype" w:cs="Times New Roman"/>
          <w:lang w:val="es-ES_tradnl" w:eastAsia="es-ES"/>
        </w:rPr>
      </w:pPr>
      <w:r w:rsidRPr="005D1CFC">
        <w:rPr>
          <w:rFonts w:ascii="Palatino Linotype" w:eastAsia="MS Gothic" w:hAnsi="Palatino Linotype" w:cs="Times New Roman"/>
          <w:b/>
          <w:sz w:val="24"/>
          <w:szCs w:val="26"/>
          <w:lang w:val="es-ES"/>
        </w:rPr>
        <w:t xml:space="preserve">Razones o motivos de inconformidad: </w:t>
      </w:r>
      <w:r w:rsidRPr="005D1CFC">
        <w:rPr>
          <w:rFonts w:ascii="Palatino Linotype" w:eastAsia="MS Gothic" w:hAnsi="Palatino Linotype" w:cs="Times New Roman"/>
          <w:i/>
          <w:szCs w:val="26"/>
        </w:rPr>
        <w:t xml:space="preserve">Con fecha 3 de septiembre de 2018 se me informa que mi solicitud de información fue prorrogada por 7 días en virtud de: “…Este comité de transparencia aprueba la ampliación del plazo por 7 días hábiles, para dar respuesta a la solicitud de información pública 00441/ISSEMYM/IP/2018 para la integración de dicha información…” El 12 de septiembre no recibí la información solicitada y que el ISSEMYM manifestó el día 3 de septiembre que requería 7 días más para integrarla. Lo que se me dio como respuesta fue una aprobación de clasificación como reservada, según lo contenido en la resolución de transparencia No.: CT/ISSEMYM-A01-35E/2018, en donde se utilizó de manera indebida y a todas luces dolosa la Ley de Transparencia y Acceso a la Información Pública del Estado de México y Municipios, utilizando como fundamento el articulo 3 fracciones XX, XXIV y XXXIII, 128 y 140fracciones V numerales 1 y 2, VI y X. reservándola por un periodo de 5 años, ya que según el ISSEMYM, puede causar “un daño serio a las actividades de fiscalización, verificación, inspección, de recaudación de contribuciones”. En un análisis de lo que se me da como respuesta, se advierte que el ISSEMYM está violentando la Ley que cita, así como cada uno de los artículos, fracciones y numerales que utiliza como </w:t>
      </w:r>
      <w:r w:rsidRPr="005D1CFC">
        <w:rPr>
          <w:rFonts w:ascii="Palatino Linotype" w:eastAsia="MS Gothic" w:hAnsi="Palatino Linotype" w:cs="Times New Roman"/>
          <w:i/>
          <w:szCs w:val="26"/>
        </w:rPr>
        <w:lastRenderedPageBreak/>
        <w:t xml:space="preserve">fundamento para no darme la información que solicito, además los artículos 129, 130. Lo explico: El ISSEMYM solo citó artículos, fracciones y numerales, pero no señaló las razones, motivos o circunstancias especiales que lo llevaron a concluir que el caso particular se ajustara al supuesto previsto por la norma legal invocada como fundamento. Además, no cumplió con el deber que le impone la Ley citada de que, en todo momento, debe aplicar una prueba de daño. Tal como se establece en el Artículo 128. Cuando utiliza el Artículo 140, que señala que “El acceso a la información pública será restringido excepcionalmente, cuando por razones de interés público, ésta sea clasificada como reservada, conforme a los criterios siguientes: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pero después de citar lo anterior no expone ni prueba cuales son las razones de interés público que justifican clasificar la información como reservada, no expone ni demuestra prueba de daño, de cómo la divulgación de la información obstruiría algo o causaría un serio perjuicio a las actividades de fiscalización, verificación, inspección, comprobación y auditoría sobre el cumplimiento de las Leyes, así como en la recaudación de las contribuciones. De igual manera tampoco describió ni aportó prueba de daño cuando refiere que al entregar la información solicitada se podría causar daño u obstruir la prevención o persecución de delitos, alteración en el proceso de investigación de las carpetas de investigación, afectar o vulnerar la conducción </w:t>
      </w:r>
      <w:r w:rsidRPr="005D1CFC">
        <w:rPr>
          <w:rFonts w:ascii="Palatino Linotype" w:eastAsia="MS Gothic" w:hAnsi="Palatino Linotype" w:cs="Times New Roman"/>
          <w:i/>
          <w:szCs w:val="26"/>
        </w:rPr>
        <w:lastRenderedPageBreak/>
        <w:t xml:space="preserve">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Por lo anterior aludo al Artículo 129 de la misma Ley que en este caso obliga al ISSEMYM a aplicar la prueba de daño, que como es evidente no cumplió, pero que se establece que debió haber sido de la siguiente manera: En la aplicación de la prueba de daño, el sujeto obligado deberá precisar las razones objetivas por las que la apertura de la información generaría una afectación, justificando que: I. La divulgación de la información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para evitar el perjuicio. En cuanto al reservar la información 5 años, se violenta el Artículo 130.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 El ISSEMYM violenta el artículo 3 fracción 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Artículo 142. Bajo ninguna circunstancia podrá invocarse el carácter de reservado cuando: …IV. Se trate de información relacionada con actos de corrupción de conformidad con las disposiciones jurídicas aplicables. Es por ello que en este momento es prudente evidenciar </w:t>
      </w:r>
      <w:r w:rsidRPr="005D1CFC">
        <w:rPr>
          <w:rFonts w:ascii="Palatino Linotype" w:eastAsia="MS Gothic" w:hAnsi="Palatino Linotype" w:cs="Times New Roman"/>
          <w:i/>
          <w:szCs w:val="26"/>
        </w:rPr>
        <w:lastRenderedPageBreak/>
        <w:t xml:space="preserve">como la publicación de la información negada producirá un mayor beneficio que el reservarla. Actualmente ha sido documentado que 150 instituciones públicas deben al ISSEMYM, como se podrá corroborar en la nota de investigación periodística respaldada por documentos obtenidos a través del SAIMEX “150 instituciones públicas deben al ISSEMYM, la UAEM en primer lugar” https://prensa-de-universitarios-activistas-em.com/2018/09/05/150-instituciones-publicas-deben-al-issemym-la-uaem-en-primer-lugar/, tales adeudos han sido documentados desde años anteriores pero es ante la nueva “Ley del ISSEMYM” que el tema de los adeudos ha tomado alto interés en el interés público, sobretodo porque la mayoría de los trabajadores del Estado a quienes se les ha retenido puntualmente sus cuotas han descubierto que no han llegado en tiempo y forma al ISSEMYM. Por ejemplo, en el caso de la UAEM se documentó que durante casi dos años consecutivos no entregó ni un solo peso al ISSEMYM, pero el Instituto no tomó las acciones legales correspondientes para garantizar el cumplimiento de las obligaciones de Seguridad Social de la UAEM. El hecho de que 150 instituciones públicas deban al ISSEMYM un monto que rebasa los 3 mil millones de pesos sí obstruye y causa un serio perjuicio a la recaudación de las contribuciones, con la posible colaboración, por omisión y/o negligencia del ISSEMYM. Es por lo anterior que la divulgación de los convenios que el ISSEMYM ha firmado con los organismos Auxiliares Estatales, para reestructuración de deuda e importes pendientes de pago en el año 2015, 2016, 2017 y 2018, son fundamentales para que el público sepa que el ISSEMYM está haciendo lo pertinente para garantizar que la recaudación de las contribuciones desviadas en el camino, lleguen a donde deben de estar, en las cuentas bancarias del ISSEMYM. Es importante retomar algunos fragmentos de la exposición de motivos de la Ley De Transparencia Y Acceso A La Información Pública Del Estado De México Y Municipios, que fortalecen la pertinencia de que se me garantice mi derecho a la información: “…el derecho de acceso a la información es herramienta fundamental para el control ciudadano del funcionamiento del Estado y la gestión pública, en especial para </w:t>
      </w:r>
      <w:r w:rsidRPr="005D1CFC">
        <w:rPr>
          <w:rFonts w:ascii="Palatino Linotype" w:eastAsia="MS Gothic" w:hAnsi="Palatino Linotype" w:cs="Times New Roman"/>
          <w:i/>
          <w:szCs w:val="26"/>
        </w:rPr>
        <w:lastRenderedPageBreak/>
        <w:t>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 Sólo a través del acceso a la información que genera el Estado es posible que los ciudadanos puedan saber si se está dando cumplimiento adecuado a las funciones públicas, así como los beneficios sociales de los programas y actividades desarrolladas. En tal virtud, el reconocimiento de la prerrogativa de acceso a la información como derecho humano constituye un importante avance constitucional, que necesita el soporte legal de legislación local secundaria para convertirlo en un derecho efectivo y vigente, eliminando todo obstáculo que impida su materialización plena.” Solicitudes de información pública como la que hoy solicito dejarán constancia sobre el avance o retroceso de la cultura de transparencia, acceso a la información pública y rendición de cuentas en el Estado de México. Mi esperanza está en que se eliminen los obstáculos que nos impidan caminar hacia adelante.</w:t>
      </w:r>
    </w:p>
    <w:p w:rsidR="005D1CFC" w:rsidRPr="005D1CFC" w:rsidRDefault="005D1CFC" w:rsidP="00F55249">
      <w:pPr>
        <w:pStyle w:val="Prrafodelista"/>
        <w:spacing w:after="0" w:line="360" w:lineRule="auto"/>
        <w:ind w:left="567"/>
        <w:jc w:val="both"/>
        <w:rPr>
          <w:rFonts w:ascii="Palatino Linotype" w:eastAsia="MS Mincho" w:hAnsi="Palatino Linotype" w:cs="Times New Roman"/>
          <w:lang w:val="es-ES_tradnl" w:eastAsia="es-ES"/>
        </w:rPr>
      </w:pPr>
    </w:p>
    <w:p w:rsidR="00792776" w:rsidRDefault="005D1CFC" w:rsidP="00F55249">
      <w:pPr>
        <w:spacing w:after="0" w:line="360" w:lineRule="auto"/>
        <w:ind w:left="567" w:right="567"/>
        <w:contextualSpacing/>
        <w:rPr>
          <w:rFonts w:ascii="Palatino Linotype" w:eastAsia="Times New Roman" w:hAnsi="Palatino Linotype" w:cs="Arial"/>
          <w:b/>
          <w:bCs/>
          <w:sz w:val="24"/>
          <w:szCs w:val="24"/>
          <w:lang w:eastAsia="es-ES"/>
        </w:rPr>
      </w:pPr>
      <w:r>
        <w:rPr>
          <w:rFonts w:ascii="Palatino Linotype" w:eastAsia="Times New Roman" w:hAnsi="Palatino Linotype" w:cs="Arial"/>
          <w:b/>
          <w:bCs/>
          <w:sz w:val="24"/>
          <w:szCs w:val="24"/>
          <w:lang w:eastAsia="es-ES"/>
        </w:rPr>
        <w:t>00446/ISSEMYM/IP/2018.</w:t>
      </w:r>
    </w:p>
    <w:p w:rsidR="00D21751" w:rsidRDefault="005D1CFC" w:rsidP="004F6F41">
      <w:pPr>
        <w:spacing w:after="0" w:line="360" w:lineRule="auto"/>
        <w:ind w:left="567" w:right="567"/>
        <w:contextualSpacing/>
        <w:jc w:val="both"/>
        <w:rPr>
          <w:rFonts w:ascii="Palatino Linotype" w:eastAsia="MS Mincho" w:hAnsi="Palatino Linotype" w:cs="Times New Roman"/>
          <w:i/>
          <w:lang w:eastAsia="es-ES"/>
        </w:rPr>
      </w:pPr>
      <w:r w:rsidRPr="00C07697">
        <w:rPr>
          <w:rFonts w:ascii="Palatino Linotype" w:eastAsia="MS Gothic" w:hAnsi="Palatino Linotype" w:cs="Times New Roman"/>
          <w:b/>
          <w:sz w:val="24"/>
          <w:szCs w:val="26"/>
          <w:lang w:val="es-ES"/>
        </w:rPr>
        <w:t>Acto impugnado</w:t>
      </w:r>
      <w:r>
        <w:rPr>
          <w:rFonts w:ascii="Palatino Linotype" w:eastAsia="MS Mincho" w:hAnsi="Palatino Linotype" w:cs="Times New Roman"/>
          <w:lang w:val="es-ES_tradnl" w:eastAsia="es-ES"/>
        </w:rPr>
        <w:t>: “</w:t>
      </w:r>
      <w:r w:rsidRPr="005D1CFC">
        <w:rPr>
          <w:rFonts w:ascii="Palatino Linotype" w:eastAsia="MS Mincho" w:hAnsi="Palatino Linotype" w:cs="Times New Roman"/>
          <w:i/>
          <w:lang w:eastAsia="es-ES"/>
        </w:rPr>
        <w:t>La negativa de entregarme la información que solicito, usando para ello de manera indebida la clasificación de información como reservada por 5 años. la información que pido a través de la solicitud 00446/ISSEMYM/IP/2018 es: Copia de los convenios que el ISSEMYM ha firmado con los Sistemas Municipales DIF, para reestructuración de deuda e importes pendientes de pago en los años 2015, 2016, 2017 y 2018</w:t>
      </w:r>
      <w:r>
        <w:rPr>
          <w:rFonts w:ascii="Palatino Linotype" w:eastAsia="MS Mincho" w:hAnsi="Palatino Linotype" w:cs="Times New Roman"/>
          <w:i/>
          <w:lang w:eastAsia="es-ES"/>
        </w:rPr>
        <w:t xml:space="preserve">”. (Sic) </w:t>
      </w:r>
    </w:p>
    <w:p w:rsidR="004F6F41" w:rsidRDefault="004F6F41" w:rsidP="004F6F41">
      <w:pPr>
        <w:spacing w:after="0" w:line="360" w:lineRule="auto"/>
        <w:ind w:right="567"/>
        <w:contextualSpacing/>
        <w:jc w:val="both"/>
        <w:rPr>
          <w:rFonts w:ascii="Palatino Linotype" w:eastAsia="MS Gothic" w:hAnsi="Palatino Linotype" w:cs="Times New Roman"/>
          <w:b/>
          <w:sz w:val="24"/>
          <w:szCs w:val="26"/>
          <w:lang w:val="es-ES"/>
        </w:rPr>
      </w:pPr>
    </w:p>
    <w:p w:rsidR="004F6F41" w:rsidRDefault="004F6F41" w:rsidP="004F6F41">
      <w:pPr>
        <w:spacing w:after="0" w:line="360" w:lineRule="auto"/>
        <w:ind w:right="567"/>
        <w:contextualSpacing/>
        <w:jc w:val="both"/>
        <w:rPr>
          <w:rFonts w:ascii="Palatino Linotype" w:eastAsia="MS Gothic" w:hAnsi="Palatino Linotype" w:cs="Times New Roman"/>
          <w:b/>
          <w:sz w:val="24"/>
          <w:szCs w:val="26"/>
          <w:lang w:val="es-ES"/>
        </w:rPr>
      </w:pPr>
    </w:p>
    <w:p w:rsidR="004F6F41" w:rsidRPr="004F6F41" w:rsidRDefault="004F6F41" w:rsidP="004F6F41">
      <w:pPr>
        <w:spacing w:after="0" w:line="360" w:lineRule="auto"/>
        <w:ind w:right="567"/>
        <w:contextualSpacing/>
        <w:jc w:val="both"/>
        <w:rPr>
          <w:rFonts w:ascii="Palatino Linotype" w:eastAsia="MS Mincho" w:hAnsi="Palatino Linotype" w:cs="Times New Roman"/>
          <w:i/>
          <w:lang w:eastAsia="es-ES"/>
        </w:rPr>
      </w:pPr>
    </w:p>
    <w:p w:rsidR="005D1CFC" w:rsidRDefault="005D1CFC" w:rsidP="00F55249">
      <w:pPr>
        <w:spacing w:after="0" w:line="360" w:lineRule="auto"/>
        <w:ind w:left="567" w:right="567"/>
        <w:contextualSpacing/>
        <w:rPr>
          <w:rFonts w:ascii="Palatino Linotype" w:eastAsia="MS Gothic" w:hAnsi="Palatino Linotype" w:cs="Times New Roman"/>
          <w:b/>
          <w:sz w:val="24"/>
          <w:szCs w:val="26"/>
          <w:lang w:val="es-ES"/>
        </w:rPr>
      </w:pPr>
      <w:r>
        <w:rPr>
          <w:rFonts w:ascii="Palatino Linotype" w:eastAsia="MS Gothic" w:hAnsi="Palatino Linotype" w:cs="Times New Roman"/>
          <w:b/>
          <w:sz w:val="24"/>
          <w:szCs w:val="26"/>
          <w:lang w:val="es-ES"/>
        </w:rPr>
        <w:t>Razones o motivos de inconformidad:</w:t>
      </w:r>
    </w:p>
    <w:p w:rsidR="004F6F41" w:rsidRDefault="004F6F41" w:rsidP="00F55249">
      <w:pPr>
        <w:spacing w:after="0" w:line="360" w:lineRule="auto"/>
        <w:ind w:left="567" w:right="567"/>
        <w:contextualSpacing/>
        <w:rPr>
          <w:rFonts w:ascii="Palatino Linotype" w:eastAsia="MS Gothic" w:hAnsi="Palatino Linotype" w:cs="Times New Roman"/>
          <w:b/>
          <w:sz w:val="24"/>
          <w:szCs w:val="26"/>
          <w:lang w:val="es-ES"/>
        </w:rPr>
      </w:pPr>
    </w:p>
    <w:p w:rsidR="005D1CFC" w:rsidRDefault="005D1CFC" w:rsidP="00F55249">
      <w:pPr>
        <w:spacing w:after="0" w:line="360" w:lineRule="auto"/>
        <w:ind w:left="567" w:right="567"/>
        <w:contextualSpacing/>
        <w:jc w:val="both"/>
        <w:rPr>
          <w:rFonts w:ascii="Palatino Linotype" w:eastAsia="MS Mincho" w:hAnsi="Palatino Linotype" w:cs="Times New Roman"/>
          <w:i/>
          <w:lang w:eastAsia="es-ES"/>
        </w:rPr>
      </w:pPr>
      <w:r>
        <w:rPr>
          <w:rFonts w:ascii="Palatino Linotype" w:eastAsia="MS Mincho" w:hAnsi="Palatino Linotype" w:cs="Times New Roman"/>
          <w:i/>
          <w:lang w:eastAsia="es-ES"/>
        </w:rPr>
        <w:t>“</w:t>
      </w:r>
      <w:r w:rsidRPr="005D1CFC">
        <w:rPr>
          <w:rFonts w:ascii="Palatino Linotype" w:eastAsia="MS Mincho" w:hAnsi="Palatino Linotype" w:cs="Times New Roman"/>
          <w:i/>
          <w:lang w:eastAsia="es-ES"/>
        </w:rPr>
        <w:t xml:space="preserve">Con fecha 3 de septiembre de 2018 se me informa que mi solicitud de información fue prorrogada por 7 días en virtud de: “…Este comité de transparencia aprueba la ampliación del plazo por 7 días hábiles, para dar respuesta a la solicitud de información pública 00441/ISSEMYM/IP/2018 para la integración de dicha información…” El 12 de septiembre no recibí la información solicitada y que el ISSEMYM manifestó el día 3 de septiembre que requería 7 días más para integrarla. Lo que se me dio como respuesta fue una aprobación de clasificación como reservada, según lo contenido en la resolución de transparencia No.: CT/ISSEMYM-A01-35E/2018, en donde se utilizó de manera indebida y a todas luces dolosa la Ley de Transparencia y Acceso a la Información Pública del Estado de México y Municipios, utilizando como fundamento el articulo 3 fracciones XX, XXIV y XXXIII, 128 y 140fracciones V numerales 1 y 2, VI y X. reservándola por un periodo de 5 años, ya que según el ISSEMYM, puede causar “un daño serio a las actividades de fiscalización, verificación, inspección, de recaudación de contribuciones”. En un análisis de lo que se me da como respuesta, se advierte que el ISSEMYM está violentando la Ley que cita, así como cada uno de los artículos, fracciones y numerales que utiliza como fundamento para no darme la información que solicito, además los artículos 129, 130. Lo explico: El ISSEMYM solo citó artículos, fracciones y numerales, pero no señaló las razones, motivos o circunstancias especiales que lo llevaron a concluir que el caso particular se ajustara al supuesto previsto por la norma legal invocada como fundamento. Además, no cumplió con el deber que le impone la Ley citada de que, en todo momento, debe aplicar una prueba de daño. Tal como se establece en el Artículo 128. Cuando utiliza el Artículo 140, que señala que “El acceso </w:t>
      </w:r>
      <w:r w:rsidRPr="005D1CFC">
        <w:rPr>
          <w:rFonts w:ascii="Palatino Linotype" w:eastAsia="MS Mincho" w:hAnsi="Palatino Linotype" w:cs="Times New Roman"/>
          <w:i/>
          <w:lang w:eastAsia="es-ES"/>
        </w:rPr>
        <w:lastRenderedPageBreak/>
        <w:t xml:space="preserve">a la información pública será restringido excepcionalmente, cuando por razones de interés público, ésta sea clasificada como reservada, conforme a los criterios siguientes: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pero después de citar lo anterior no expone ni prueba cuales son las razones de interés público que justifican clasificar la información como reservada, no expone ni demuestra prueba de daño, de cómo la divulgación de la información obstruiría algo o causaría un serio perjuicio a las actividades de fiscalización, verificación, inspección, comprobación y auditoría sobre el cumplimiento de las Leyes, así como en la recaudación de las contribuciones. De igual manera tampoco describió ni aportó prueba de daño cuando refiere que al entregar la información solicitada se podría causar daño u obstruir la prevención o persecución de delitos, alteración en el proceso de investigación de las carpetas de investigación, afectar o vulnerar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r w:rsidRPr="005D1CFC">
        <w:rPr>
          <w:rFonts w:ascii="Palatino Linotype" w:eastAsia="MS Mincho" w:hAnsi="Palatino Linotype" w:cs="Times New Roman"/>
          <w:i/>
          <w:lang w:eastAsia="es-ES"/>
        </w:rPr>
        <w:lastRenderedPageBreak/>
        <w:t xml:space="preserve">Por lo anterior aludo al Artículo 129 de la misma Ley que en este caso obliga al ISSEMYM a aplicar la prueba de daño, que como es evidente no cumplió, pero que se establece que debió haber sido de la siguiente manera: En la aplicación de la prueba de daño, el sujeto obligado deberá precisar las razones objetivas por las que la apertura de la información generaría una afectación, justificando que: I. La divulgación de la información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para evitar el perjuicio. En cuanto al reservar la información 5 años, se violenta el Artículo 130.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 El ISSEMYM violenta el artículo 3 fracción 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Artículo 142. Bajo ninguna circunstancia podrá invocarse el carácter de reservado cuando: …IV. Se trate de información relacionada con actos de corrupción de conformidad con las disposiciones jurídicas aplicables. Es por ello que en este momento es prudente evidenciar como la publicación de la información negada producirá un mayor beneficio que el reservarla. Actualmente ha sido documentado que 150 instituciones públicas deben al ISSEMYM, como se podrá corroborar en la nota de </w:t>
      </w:r>
      <w:r w:rsidRPr="005D1CFC">
        <w:rPr>
          <w:rFonts w:ascii="Palatino Linotype" w:eastAsia="MS Mincho" w:hAnsi="Palatino Linotype" w:cs="Times New Roman"/>
          <w:i/>
          <w:lang w:eastAsia="es-ES"/>
        </w:rPr>
        <w:lastRenderedPageBreak/>
        <w:t xml:space="preserve">investigación periodística respaldada por documentos obtenidos a través del SAIMEX “150 instituciones públicas deben al ISSEMYM, la UAEM en primer lugar” https://prensa-de-universitarios-activistas-em.com/2018/09/05/150-instituciones-publicas-deben-al-issemym-la-uaem-en-primer-lugar/, tales adeudos han sido documentados desde años anteriores pero es ante la nueva “Ley del ISSEMYM” que el tema de los adeudos ha tomado alto interés en el interés público, sobretodo porque la mayoría de los trabajadores del Estado a quienes se les ha retenido puntualmente sus cuotas han descubierto que no han llegado en tiempo y forma al ISSEMYM. Por ejemplo, en el caso de la UAEM se documentó que durante casi dos años consecutivos no entregó ni un solo peso al ISSEMYM, pero el Instituto no tomó las acciones legales correspondientes para garantizar el cumplimiento de las obligaciones de Seguridad Social de la UAEM. El hecho de que 150 instituciones públicas deban al ISSEMYM un monto que rebasa los 3 mil millones de pesos sí obstruye y causa un serio perjuicio a la recaudación de las contribuciones, con la posible colaboración, por omisión y/o negligencia del ISSEMYM. Es por lo anterior que la divulgación de los convenios que el ISSEMYM ha firmado con los Sistemas Municipales DIF, para reestructuración de deuda e importes pendientes de pago en el año 2015, 2016, 2017 y 2018, son fundamentales para que el público sepa que el ISSEMYM está haciendo lo pertinente para garantizar que la recaudación de las contribuciones desviadas en el camino, lleguen a donde deben de estar, en las cuentas bancarias del ISSEMYM. Es importante retomar algunos fragmentos de la exposición de motivos de la Ley De Transparencia Y Acceso A La Información Pública Del Estado De México Y Municipios, que fortalecen la pertinencia de que se me garantice mi derecho a la información: “…el derecho de acceso a la información es herramienta fundamental para el control ciudadano del funcionamiento del Estado y la gestión pública, en especial para el combate a la </w:t>
      </w:r>
      <w:r w:rsidRPr="005D1CFC">
        <w:rPr>
          <w:rFonts w:ascii="Palatino Linotype" w:eastAsia="MS Mincho" w:hAnsi="Palatino Linotype" w:cs="Times New Roman"/>
          <w:i/>
          <w:lang w:eastAsia="es-ES"/>
        </w:rPr>
        <w:lastRenderedPageBreak/>
        <w:t>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 Sólo a través del acceso a la información que genera el Estado es posible que los ciudadanos puedan saber si se está dando cumplimiento adecuado a las funciones públicas, así como los beneficios sociales de los programas y actividades desarrolladas. En tal virtud, el reconocimiento de la prerrogativa de acceso a la información como derecho humano constituye un importante avance constitucional, que necesita el soporte legal de legislación local secundaria para convertirlo en un derecho efectivo y vigente, eliminando todo obstáculo que impida su materialización plena.” Solicitudes de información pública como la que hoy solicito dejarán constancia sobre el avance o retroceso de la cultura de transparencia, acceso a la información pública y rendición de cuentas en el Estado de México. Mi esperanza está en que se eliminen los obstáculos que nos</w:t>
      </w:r>
      <w:r>
        <w:rPr>
          <w:rFonts w:ascii="Palatino Linotype" w:eastAsia="MS Mincho" w:hAnsi="Palatino Linotype" w:cs="Times New Roman"/>
          <w:i/>
          <w:lang w:eastAsia="es-ES"/>
        </w:rPr>
        <w:t xml:space="preserve"> impidan caminar hacia adelante”. </w:t>
      </w:r>
    </w:p>
    <w:p w:rsidR="005D1CFC" w:rsidRPr="005D1CFC" w:rsidRDefault="005D1CFC" w:rsidP="00D95A22">
      <w:pPr>
        <w:spacing w:after="0" w:line="360" w:lineRule="auto"/>
        <w:contextualSpacing/>
        <w:jc w:val="both"/>
        <w:rPr>
          <w:rFonts w:ascii="Palatino Linotype" w:eastAsia="MS Mincho" w:hAnsi="Palatino Linotype" w:cs="Times New Roman"/>
          <w:i/>
          <w:lang w:val="es-ES_tradnl" w:eastAsia="es-ES"/>
        </w:rPr>
      </w:pPr>
    </w:p>
    <w:p w:rsidR="00792776" w:rsidRPr="003E585E" w:rsidRDefault="00792776" w:rsidP="00F55249">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2C6BBC">
        <w:rPr>
          <w:rFonts w:ascii="Palatino Linotype" w:eastAsia="Times New Roman" w:hAnsi="Palatino Linotype" w:cs="Arial"/>
          <w:sz w:val="24"/>
          <w:szCs w:val="24"/>
          <w:lang w:val="es-ES" w:eastAsia="es-ES"/>
        </w:rPr>
        <w:t>aron los</w:t>
      </w:r>
      <w:r w:rsidRPr="003E585E">
        <w:rPr>
          <w:rFonts w:ascii="Palatino Linotype" w:eastAsia="Times New Roman" w:hAnsi="Palatino Linotype" w:cs="Arial"/>
          <w:sz w:val="24"/>
          <w:szCs w:val="24"/>
          <w:lang w:val="es-ES" w:eastAsia="es-ES"/>
        </w:rPr>
        <w:t xml:space="preserve"> recurso</w:t>
      </w:r>
      <w:r w:rsidR="002C6BBC">
        <w:rPr>
          <w:rFonts w:ascii="Palatino Linotype" w:eastAsia="Times New Roman" w:hAnsi="Palatino Linotype" w:cs="Arial"/>
          <w:sz w:val="24"/>
          <w:szCs w:val="24"/>
          <w:lang w:val="es-ES" w:eastAsia="es-ES"/>
        </w:rPr>
        <w:t xml:space="preserve">s de revisión bajo los </w:t>
      </w:r>
      <w:r w:rsidRPr="003E585E">
        <w:rPr>
          <w:rFonts w:ascii="Palatino Linotype" w:eastAsia="Times New Roman" w:hAnsi="Palatino Linotype" w:cs="Arial"/>
          <w:sz w:val="24"/>
          <w:szCs w:val="24"/>
          <w:lang w:val="es-ES" w:eastAsia="es-ES"/>
        </w:rPr>
        <w:t>número</w:t>
      </w:r>
      <w:r w:rsidR="002C6BBC">
        <w:rPr>
          <w:rFonts w:ascii="Palatino Linotype" w:eastAsia="Times New Roman" w:hAnsi="Palatino Linotype" w:cs="Arial"/>
          <w:sz w:val="24"/>
          <w:szCs w:val="24"/>
          <w:lang w:val="es-ES" w:eastAsia="es-ES"/>
        </w:rPr>
        <w:t>s</w:t>
      </w:r>
      <w:r w:rsidRPr="003E585E">
        <w:rPr>
          <w:rFonts w:ascii="Palatino Linotype" w:eastAsia="Times New Roman" w:hAnsi="Palatino Linotype" w:cs="Arial"/>
          <w:sz w:val="24"/>
          <w:szCs w:val="24"/>
          <w:lang w:val="es-ES" w:eastAsia="es-ES"/>
        </w:rPr>
        <w:t xml:space="preserve">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792776" w:rsidRPr="003E585E" w:rsidRDefault="00792776" w:rsidP="00D95A22">
      <w:pPr>
        <w:spacing w:after="0" w:line="360" w:lineRule="auto"/>
        <w:ind w:left="426"/>
        <w:contextualSpacing/>
        <w:jc w:val="both"/>
        <w:rPr>
          <w:rFonts w:ascii="Palatino Linotype" w:eastAsia="Times New Roman" w:hAnsi="Palatino Linotype" w:cs="Arial"/>
          <w:i/>
          <w:lang w:val="es-ES_tradnl" w:eastAsia="es-ES"/>
        </w:rPr>
      </w:pPr>
    </w:p>
    <w:p w:rsidR="00A612C0" w:rsidRPr="00F55249" w:rsidRDefault="00792776" w:rsidP="00F552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 </w:t>
      </w:r>
      <w:r w:rsidR="002C6BBC" w:rsidRPr="00F55249">
        <w:rPr>
          <w:rFonts w:ascii="Palatino Linotype" w:eastAsia="Calibri" w:hAnsi="Palatino Linotype" w:cs="Arial"/>
          <w:sz w:val="24"/>
          <w:szCs w:val="24"/>
          <w:lang w:val="es-ES" w:eastAsia="es-ES"/>
        </w:rPr>
        <w:lastRenderedPageBreak/>
        <w:t>veintiuno</w:t>
      </w:r>
      <w:r w:rsidR="009C789B" w:rsidRPr="00F55249">
        <w:rPr>
          <w:rFonts w:ascii="Palatino Linotype" w:eastAsia="Calibri" w:hAnsi="Palatino Linotype" w:cs="Arial"/>
          <w:sz w:val="24"/>
          <w:szCs w:val="24"/>
          <w:lang w:val="es-ES" w:eastAsia="es-ES"/>
        </w:rPr>
        <w:t xml:space="preserve"> (</w:t>
      </w:r>
      <w:r w:rsidR="002C6BBC" w:rsidRPr="00F55249">
        <w:rPr>
          <w:rFonts w:ascii="Palatino Linotype" w:eastAsia="Calibri" w:hAnsi="Palatino Linotype" w:cs="Arial"/>
          <w:sz w:val="24"/>
          <w:szCs w:val="24"/>
          <w:lang w:val="es-ES" w:eastAsia="es-ES"/>
        </w:rPr>
        <w:t>21</w:t>
      </w:r>
      <w:r w:rsidR="00960D99" w:rsidRPr="00F55249">
        <w:rPr>
          <w:rFonts w:ascii="Palatino Linotype" w:eastAsia="Calibri" w:hAnsi="Palatino Linotype" w:cs="Arial"/>
          <w:sz w:val="24"/>
          <w:szCs w:val="24"/>
          <w:lang w:val="es-ES" w:eastAsia="es-ES"/>
        </w:rPr>
        <w:t xml:space="preserve">) de </w:t>
      </w:r>
      <w:r w:rsidR="009C789B" w:rsidRPr="00F55249">
        <w:rPr>
          <w:rFonts w:ascii="Palatino Linotype" w:eastAsia="Calibri" w:hAnsi="Palatino Linotype" w:cs="Arial"/>
          <w:sz w:val="24"/>
          <w:szCs w:val="24"/>
          <w:lang w:val="es-ES" w:eastAsia="es-ES"/>
        </w:rPr>
        <w:t>septiembre</w:t>
      </w:r>
      <w:r w:rsidR="00354999" w:rsidRPr="00F55249">
        <w:rPr>
          <w:rFonts w:ascii="Palatino Linotype" w:eastAsia="Calibri" w:hAnsi="Palatino Linotype" w:cs="Arial"/>
          <w:sz w:val="24"/>
          <w:szCs w:val="24"/>
          <w:lang w:val="es-ES" w:eastAsia="es-ES"/>
        </w:rPr>
        <w:t xml:space="preserve"> de dos mil dieciocho</w:t>
      </w:r>
      <w:r w:rsidRPr="00F55249">
        <w:rPr>
          <w:rFonts w:ascii="Palatino Linotype" w:eastAsia="Calibri" w:hAnsi="Palatino Linotype" w:cs="Arial"/>
          <w:sz w:val="24"/>
          <w:szCs w:val="24"/>
          <w:lang w:val="es-ES" w:eastAsia="es-ES"/>
        </w:rPr>
        <w:t xml:space="preserve">, puso a disposición de las partes el expediente 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C541AA" w:rsidRPr="00F55249" w:rsidRDefault="00C541AA" w:rsidP="00F55249">
      <w:pPr>
        <w:pStyle w:val="Prrafodelista"/>
        <w:spacing w:after="0" w:line="360" w:lineRule="auto"/>
        <w:rPr>
          <w:rFonts w:ascii="Palatino Linotype" w:eastAsia="Calibri" w:hAnsi="Palatino Linotype" w:cs="Arial"/>
          <w:sz w:val="24"/>
          <w:szCs w:val="24"/>
          <w:lang w:val="es-ES" w:eastAsia="es-ES"/>
        </w:rPr>
      </w:pPr>
    </w:p>
    <w:p w:rsidR="00F55249" w:rsidRPr="005E7BEE" w:rsidRDefault="00C541AA" w:rsidP="00F55249">
      <w:pPr>
        <w:pStyle w:val="Prrafodelista"/>
        <w:numPr>
          <w:ilvl w:val="0"/>
          <w:numId w:val="2"/>
        </w:numPr>
        <w:spacing w:after="0" w:line="360" w:lineRule="auto"/>
        <w:ind w:left="0" w:hanging="11"/>
        <w:jc w:val="both"/>
        <w:rPr>
          <w:rFonts w:ascii="Palatino Linotype" w:hAnsi="Palatino Linotype"/>
          <w:i/>
          <w:color w:val="000000"/>
          <w:sz w:val="24"/>
          <w:szCs w:val="24"/>
        </w:rPr>
      </w:pPr>
      <w:r w:rsidRPr="00F55249">
        <w:rPr>
          <w:rFonts w:ascii="Palatino Linotype" w:eastAsia="MS Mincho" w:hAnsi="Palatino Linotype" w:cs="Arial"/>
          <w:sz w:val="24"/>
          <w:szCs w:val="24"/>
        </w:rPr>
        <w:t xml:space="preserve">De conformidad con el artículo 185, fracción I de la Ley de Transparencia y Acceso a la Información Pública del Estado de México y Municipios, el recurso de revisión número </w:t>
      </w:r>
      <w:r w:rsidR="00A744BF" w:rsidRPr="00F55249">
        <w:rPr>
          <w:rFonts w:ascii="Palatino Linotype" w:eastAsia="MS Mincho" w:hAnsi="Palatino Linotype" w:cs="Arial"/>
          <w:b/>
          <w:sz w:val="24"/>
          <w:szCs w:val="24"/>
        </w:rPr>
        <w:t>03423</w:t>
      </w:r>
      <w:r w:rsidRPr="00F55249">
        <w:rPr>
          <w:rFonts w:ascii="Palatino Linotype" w:eastAsia="MS Mincho" w:hAnsi="Palatino Linotype" w:cs="Times New Roman"/>
          <w:b/>
          <w:bCs/>
          <w:sz w:val="24"/>
          <w:szCs w:val="24"/>
        </w:rPr>
        <w:t xml:space="preserve">/INFOEM/IP/RR/2018 </w:t>
      </w:r>
      <w:r w:rsidRPr="00F55249">
        <w:rPr>
          <w:rFonts w:ascii="Palatino Linotype" w:eastAsia="MS Mincho" w:hAnsi="Palatino Linotype" w:cs="Arial"/>
          <w:bCs/>
          <w:sz w:val="24"/>
          <w:szCs w:val="24"/>
          <w:lang w:eastAsia="es-MX"/>
        </w:rPr>
        <w:t>fue</w:t>
      </w:r>
      <w:r w:rsidRPr="00F55249">
        <w:rPr>
          <w:rFonts w:ascii="Palatino Linotype" w:eastAsia="MS Mincho" w:hAnsi="Palatino Linotype" w:cs="Arial"/>
          <w:b/>
          <w:bCs/>
          <w:sz w:val="24"/>
          <w:szCs w:val="24"/>
          <w:lang w:eastAsia="es-MX"/>
        </w:rPr>
        <w:t xml:space="preserve"> </w:t>
      </w:r>
      <w:r w:rsidRPr="00F55249">
        <w:rPr>
          <w:rFonts w:ascii="Palatino Linotype" w:eastAsia="MS Mincho" w:hAnsi="Palatino Linotype" w:cs="Times New Roman"/>
          <w:sz w:val="24"/>
          <w:szCs w:val="24"/>
        </w:rPr>
        <w:t>turnado al Comisionado</w:t>
      </w:r>
      <w:r w:rsidRPr="00F55249">
        <w:rPr>
          <w:rFonts w:ascii="Palatino Linotype" w:eastAsia="MS Mincho" w:hAnsi="Palatino Linotype" w:cs="Times New Roman"/>
          <w:b/>
          <w:sz w:val="24"/>
          <w:szCs w:val="24"/>
        </w:rPr>
        <w:t xml:space="preserve"> José Guadalupe Luna Hernández </w:t>
      </w:r>
      <w:r w:rsidRPr="00F55249">
        <w:rPr>
          <w:rFonts w:ascii="Palatino Linotype" w:eastAsia="MS Mincho" w:hAnsi="Palatino Linotype" w:cs="Times New Roman"/>
          <w:sz w:val="24"/>
          <w:szCs w:val="24"/>
        </w:rPr>
        <w:t xml:space="preserve">a efecto de presentar al Pleno el proyecto de resolución correspondiente. Posteriormente </w:t>
      </w:r>
      <w:r w:rsidRPr="00F55249">
        <w:rPr>
          <w:rFonts w:ascii="Palatino Linotype" w:eastAsia="MS Mincho" w:hAnsi="Palatino Linotype" w:cs="Arial"/>
          <w:sz w:val="24"/>
          <w:szCs w:val="24"/>
        </w:rPr>
        <w:t>el Pleno de este Instituto, en la</w:t>
      </w:r>
      <w:r w:rsidRPr="00F55249">
        <w:rPr>
          <w:rFonts w:ascii="Palatino Linotype" w:eastAsia="MS Mincho" w:hAnsi="Palatino Linotype" w:cs="Arial"/>
          <w:b/>
          <w:sz w:val="24"/>
          <w:szCs w:val="24"/>
        </w:rPr>
        <w:t xml:space="preserve"> </w:t>
      </w:r>
      <w:r w:rsidR="00F55249" w:rsidRPr="00F55249">
        <w:rPr>
          <w:rFonts w:ascii="Palatino Linotype" w:eastAsia="MS Mincho" w:hAnsi="Palatino Linotype" w:cs="Arial"/>
          <w:sz w:val="24"/>
          <w:szCs w:val="24"/>
        </w:rPr>
        <w:t>Trigésima Quinta Sesión</w:t>
      </w:r>
      <w:r w:rsidRPr="00F55249">
        <w:rPr>
          <w:rFonts w:ascii="Palatino Linotype" w:eastAsia="MS Mincho" w:hAnsi="Palatino Linotype" w:cs="Arial"/>
          <w:sz w:val="24"/>
          <w:szCs w:val="24"/>
        </w:rPr>
        <w:t xml:space="preserve"> Ordinaria de fecha </w:t>
      </w:r>
      <w:r w:rsidR="00F55249" w:rsidRPr="00F55249">
        <w:rPr>
          <w:rFonts w:ascii="Palatino Linotype" w:eastAsia="MS Mincho" w:hAnsi="Palatino Linotype" w:cs="Arial"/>
          <w:sz w:val="24"/>
          <w:szCs w:val="24"/>
        </w:rPr>
        <w:t>veintiséis</w:t>
      </w:r>
      <w:r w:rsidRPr="00F55249">
        <w:rPr>
          <w:rFonts w:ascii="Palatino Linotype" w:eastAsia="MS Mincho" w:hAnsi="Palatino Linotype" w:cs="Arial"/>
          <w:sz w:val="24"/>
          <w:szCs w:val="24"/>
        </w:rPr>
        <w:t xml:space="preserve"> </w:t>
      </w:r>
      <w:r w:rsidR="00F55249" w:rsidRPr="00F55249">
        <w:rPr>
          <w:rFonts w:ascii="Palatino Linotype" w:eastAsia="MS Mincho" w:hAnsi="Palatino Linotype" w:cs="Arial"/>
          <w:sz w:val="24"/>
          <w:szCs w:val="24"/>
        </w:rPr>
        <w:t>(26) de septiembre</w:t>
      </w:r>
      <w:r w:rsidRPr="00F55249">
        <w:rPr>
          <w:rFonts w:ascii="Palatino Linotype" w:eastAsia="MS Mincho" w:hAnsi="Palatino Linotype" w:cs="Arial"/>
          <w:sz w:val="24"/>
          <w:szCs w:val="24"/>
        </w:rPr>
        <w:t xml:space="preserve"> de dos mil </w:t>
      </w:r>
      <w:r w:rsidRPr="00F55249">
        <w:rPr>
          <w:rFonts w:ascii="Palatino Linotype" w:eastAsia="Calibri" w:hAnsi="Palatino Linotype" w:cs="Arial"/>
          <w:sz w:val="24"/>
          <w:szCs w:val="24"/>
          <w:lang w:val="es-ES"/>
        </w:rPr>
        <w:t>dieciocho respectivamente</w:t>
      </w:r>
      <w:r w:rsidRPr="00F55249">
        <w:rPr>
          <w:rFonts w:ascii="Palatino Linotype" w:eastAsia="MS Mincho" w:hAnsi="Palatino Linotype" w:cs="Arial"/>
          <w:sz w:val="24"/>
          <w:szCs w:val="24"/>
        </w:rPr>
        <w:t xml:space="preserve">, ordenó la acumulación de los recursos de revisión </w:t>
      </w:r>
      <w:r w:rsidR="00A744BF" w:rsidRPr="00F55249">
        <w:rPr>
          <w:rFonts w:ascii="Palatino Linotype" w:eastAsia="MS Mincho" w:hAnsi="Palatino Linotype" w:cs="Arial"/>
          <w:b/>
          <w:sz w:val="24"/>
          <w:szCs w:val="24"/>
        </w:rPr>
        <w:t>03424</w:t>
      </w:r>
      <w:r w:rsidRPr="00F55249">
        <w:rPr>
          <w:rFonts w:ascii="Palatino Linotype" w:eastAsia="MS Mincho" w:hAnsi="Palatino Linotype" w:cs="Arial"/>
          <w:b/>
          <w:sz w:val="24"/>
          <w:szCs w:val="24"/>
        </w:rPr>
        <w:t>/INFOEM/IP/RR/2018</w:t>
      </w:r>
      <w:r w:rsidR="00A744BF" w:rsidRPr="00F55249">
        <w:rPr>
          <w:rFonts w:ascii="Palatino Linotype" w:eastAsia="MS Mincho" w:hAnsi="Palatino Linotype" w:cs="Arial"/>
          <w:sz w:val="24"/>
          <w:szCs w:val="24"/>
        </w:rPr>
        <w:t xml:space="preserve"> y </w:t>
      </w:r>
      <w:r w:rsidR="00A744BF" w:rsidRPr="00F55249">
        <w:rPr>
          <w:rFonts w:ascii="Palatino Linotype" w:eastAsia="MS Mincho" w:hAnsi="Palatino Linotype" w:cs="Arial"/>
          <w:b/>
          <w:sz w:val="24"/>
          <w:szCs w:val="24"/>
        </w:rPr>
        <w:t>3425</w:t>
      </w:r>
      <w:r w:rsidR="00A744BF" w:rsidRPr="00F55249">
        <w:rPr>
          <w:rFonts w:ascii="Palatino Linotype" w:hAnsi="Palatino Linotype" w:cs="Arial"/>
          <w:b/>
          <w:bCs/>
          <w:sz w:val="24"/>
          <w:szCs w:val="24"/>
        </w:rPr>
        <w:t>/INFOEM/IP/RR/2018</w:t>
      </w:r>
      <w:r w:rsidRPr="00F55249">
        <w:rPr>
          <w:rFonts w:ascii="Palatino Linotype" w:hAnsi="Palatino Linotype"/>
          <w:i/>
          <w:color w:val="000000"/>
          <w:sz w:val="24"/>
          <w:szCs w:val="24"/>
        </w:rPr>
        <w:t xml:space="preserve">. </w:t>
      </w:r>
      <w:r w:rsidRPr="00F55249">
        <w:rPr>
          <w:rFonts w:ascii="Palatino Linotype" w:eastAsia="MS Mincho" w:hAnsi="Palatino Linotype" w:cs="Arial"/>
          <w:sz w:val="24"/>
          <w:szCs w:val="24"/>
        </w:rPr>
        <w:t xml:space="preserve">Lo anterior, a efecto de que ésta Ponencia formulara y presentara el proyecto de resolución correspondiente y </w:t>
      </w:r>
      <w:r w:rsidRPr="00F55249">
        <w:rPr>
          <w:rFonts w:ascii="Palatino Linotype" w:eastAsia="Times New Roman" w:hAnsi="Palatino Linotype" w:cs="Arial"/>
          <w:sz w:val="24"/>
          <w:szCs w:val="24"/>
        </w:rPr>
        <w:t xml:space="preserve">de conformidad con el numeral ONCE inciso c) de los </w:t>
      </w:r>
      <w:r w:rsidRPr="00F55249">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F55249">
        <w:rPr>
          <w:rFonts w:ascii="Palatino Linotype" w:eastAsia="Times New Roman" w:hAnsi="Palatino Linotype" w:cs="Arial"/>
          <w:sz w:val="24"/>
          <w:szCs w:val="24"/>
          <w:vertAlign w:val="superscript"/>
        </w:rPr>
        <w:footnoteReference w:id="1"/>
      </w:r>
      <w:r w:rsidRPr="00F55249">
        <w:rPr>
          <w:rFonts w:ascii="Palatino Linotype" w:eastAsia="Times New Roman" w:hAnsi="Palatino Linotype" w:cs="Arial"/>
          <w:sz w:val="24"/>
          <w:szCs w:val="24"/>
        </w:rPr>
        <w:t>, que señala:</w:t>
      </w:r>
    </w:p>
    <w:p w:rsidR="005E7BEE" w:rsidRPr="00F55249" w:rsidRDefault="005E7BEE" w:rsidP="005E7BEE">
      <w:pPr>
        <w:pStyle w:val="Prrafodelista"/>
        <w:spacing w:after="0" w:line="360" w:lineRule="auto"/>
        <w:ind w:left="0"/>
        <w:jc w:val="both"/>
        <w:rPr>
          <w:rFonts w:ascii="Palatino Linotype" w:hAnsi="Palatino Linotype"/>
          <w:i/>
          <w:color w:val="000000"/>
          <w:sz w:val="24"/>
          <w:szCs w:val="24"/>
        </w:rPr>
      </w:pPr>
    </w:p>
    <w:p w:rsidR="00C541AA" w:rsidRPr="00421A86" w:rsidRDefault="00C541AA" w:rsidP="005E7BEE">
      <w:pPr>
        <w:autoSpaceDE w:val="0"/>
        <w:autoSpaceDN w:val="0"/>
        <w:adjustRightInd w:val="0"/>
        <w:spacing w:after="0" w:line="360" w:lineRule="auto"/>
        <w:ind w:left="567" w:right="567"/>
        <w:contextualSpacing/>
        <w:jc w:val="both"/>
        <w:rPr>
          <w:rFonts w:ascii="Palatino Linotype" w:eastAsia="Times New Roman" w:hAnsi="Palatino Linotype" w:cs="Arial"/>
          <w:i/>
        </w:rPr>
      </w:pPr>
      <w:r w:rsidRPr="00421A86">
        <w:rPr>
          <w:rFonts w:ascii="Palatino Linotype" w:eastAsia="Times New Roman" w:hAnsi="Palatino Linotype" w:cs="Arial"/>
          <w:b/>
          <w:i/>
        </w:rPr>
        <w:lastRenderedPageBreak/>
        <w:t>ONCE.</w:t>
      </w:r>
      <w:r w:rsidRPr="00421A86">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C541AA" w:rsidRPr="00421A86" w:rsidRDefault="00C541AA" w:rsidP="00D95A2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421A86">
        <w:rPr>
          <w:rFonts w:ascii="Palatino Linotype" w:eastAsia="Times New Roman" w:hAnsi="Palatino Linotype" w:cs="Arial"/>
          <w:i/>
        </w:rPr>
        <w:t>…</w:t>
      </w:r>
    </w:p>
    <w:p w:rsidR="00C541AA" w:rsidRPr="00421A86" w:rsidRDefault="00C541AA" w:rsidP="005E7BEE">
      <w:pPr>
        <w:autoSpaceDE w:val="0"/>
        <w:autoSpaceDN w:val="0"/>
        <w:adjustRightInd w:val="0"/>
        <w:spacing w:after="0" w:line="360" w:lineRule="auto"/>
        <w:ind w:left="567" w:right="567"/>
        <w:contextualSpacing/>
        <w:jc w:val="both"/>
        <w:rPr>
          <w:rFonts w:ascii="Palatino Linotype" w:eastAsia="Times New Roman" w:hAnsi="Palatino Linotype" w:cs="Arial"/>
          <w:i/>
        </w:rPr>
      </w:pPr>
      <w:r w:rsidRPr="00421A86">
        <w:rPr>
          <w:rFonts w:ascii="Palatino Linotype" w:eastAsia="Times New Roman" w:hAnsi="Palatino Linotype" w:cs="Arial"/>
          <w:i/>
        </w:rPr>
        <w:t>c) Cuando se trate del mismo solicitante, el mismo SUJETO OBLIGADO, aunque se trate de solicitudes diversas;</w:t>
      </w:r>
    </w:p>
    <w:p w:rsidR="00C541AA" w:rsidRDefault="00C541AA" w:rsidP="00E5332B">
      <w:pPr>
        <w:spacing w:after="0" w:line="360" w:lineRule="auto"/>
        <w:ind w:left="567"/>
        <w:contextualSpacing/>
        <w:jc w:val="both"/>
        <w:rPr>
          <w:rFonts w:ascii="Palatino Linotype" w:eastAsia="Times New Roman" w:hAnsi="Palatino Linotype" w:cs="Arial"/>
          <w:i/>
        </w:rPr>
      </w:pPr>
      <w:r w:rsidRPr="00421A86">
        <w:rPr>
          <w:rFonts w:ascii="Palatino Linotype" w:eastAsia="Times New Roman" w:hAnsi="Palatino Linotype" w:cs="Arial"/>
          <w:i/>
        </w:rPr>
        <w:t>…</w:t>
      </w:r>
    </w:p>
    <w:p w:rsidR="00E5332B" w:rsidRPr="00421A86" w:rsidRDefault="00E5332B" w:rsidP="00E5332B">
      <w:pPr>
        <w:spacing w:after="0" w:line="360" w:lineRule="auto"/>
        <w:ind w:left="567"/>
        <w:contextualSpacing/>
        <w:jc w:val="both"/>
        <w:rPr>
          <w:rFonts w:ascii="Palatino Linotype" w:eastAsia="Times New Roman" w:hAnsi="Palatino Linotype" w:cs="Arial"/>
          <w:i/>
        </w:rPr>
      </w:pPr>
    </w:p>
    <w:p w:rsidR="00C541AA" w:rsidRPr="00F55249" w:rsidRDefault="00C541AA" w:rsidP="00D95A22">
      <w:pPr>
        <w:pStyle w:val="Prrafodelista"/>
        <w:numPr>
          <w:ilvl w:val="0"/>
          <w:numId w:val="2"/>
        </w:numPr>
        <w:tabs>
          <w:tab w:val="center" w:pos="567"/>
          <w:tab w:val="right" w:pos="8504"/>
        </w:tabs>
        <w:spacing w:after="0" w:line="360" w:lineRule="auto"/>
        <w:ind w:left="0" w:firstLine="0"/>
        <w:jc w:val="both"/>
        <w:rPr>
          <w:rFonts w:ascii="Palatino Linotype" w:eastAsia="MS Mincho" w:hAnsi="Palatino Linotype" w:cs="Times New Roman"/>
          <w:sz w:val="24"/>
        </w:rPr>
      </w:pPr>
      <w:r w:rsidRPr="00F55249">
        <w:rPr>
          <w:rFonts w:ascii="Palatino Linotype" w:eastAsia="MS Mincho" w:hAnsi="Palatino Linotype" w:cs="Arial"/>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55249">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F55249">
        <w:rPr>
          <w:rFonts w:ascii="Palatino Linotype" w:eastAsia="MS Mincho" w:hAnsi="Palatino Linotype" w:cs="Arial"/>
          <w:color w:val="000000"/>
          <w:sz w:val="24"/>
        </w:rPr>
        <w:t xml:space="preserve">artículo 195 de </w:t>
      </w:r>
      <w:r w:rsidRPr="00F55249">
        <w:rPr>
          <w:rFonts w:ascii="Palatino Linotype" w:eastAsia="MS Mincho" w:hAnsi="Palatino Linotype" w:cs="Times New Roman"/>
          <w:sz w:val="24"/>
        </w:rPr>
        <w:t>la Ley de Transparencia y Acceso a la Información Pública del Estado de México y Municipios en vigor, que a la letra señalan:</w:t>
      </w:r>
    </w:p>
    <w:p w:rsidR="00C541AA" w:rsidRPr="00421A86" w:rsidRDefault="00C541AA" w:rsidP="00E5332B">
      <w:pPr>
        <w:tabs>
          <w:tab w:val="center" w:pos="4252"/>
          <w:tab w:val="right" w:pos="8504"/>
        </w:tabs>
        <w:spacing w:after="0" w:line="360" w:lineRule="auto"/>
        <w:jc w:val="both"/>
        <w:rPr>
          <w:rFonts w:ascii="Palatino Linotype" w:eastAsia="MS Mincho" w:hAnsi="Palatino Linotype" w:cs="Times New Roman"/>
        </w:rPr>
      </w:pPr>
    </w:p>
    <w:p w:rsidR="00C541AA" w:rsidRDefault="00C541AA" w:rsidP="00E5332B">
      <w:pPr>
        <w:spacing w:after="0" w:line="360" w:lineRule="auto"/>
        <w:ind w:left="567" w:right="567"/>
        <w:jc w:val="both"/>
        <w:rPr>
          <w:rFonts w:ascii="Palatino Linotype" w:eastAsia="MS Mincho" w:hAnsi="Palatino Linotype" w:cs="Arial"/>
          <w:b/>
          <w:i/>
        </w:rPr>
      </w:pPr>
      <w:r w:rsidRPr="00421A86">
        <w:rPr>
          <w:rFonts w:ascii="Palatino Linotype" w:eastAsia="MS Mincho" w:hAnsi="Palatino Linotype" w:cs="Arial"/>
          <w:b/>
          <w:i/>
        </w:rPr>
        <w:t>Código de Procedimientos Administrativos del Estado de México</w:t>
      </w:r>
      <w:r w:rsidR="00E5332B">
        <w:rPr>
          <w:rFonts w:ascii="Palatino Linotype" w:eastAsia="MS Mincho" w:hAnsi="Palatino Linotype" w:cs="Arial"/>
          <w:b/>
          <w:i/>
        </w:rPr>
        <w:t>.</w:t>
      </w:r>
    </w:p>
    <w:p w:rsidR="00E5332B" w:rsidRPr="00421A86" w:rsidRDefault="00E5332B" w:rsidP="00E5332B">
      <w:pPr>
        <w:spacing w:after="0" w:line="360" w:lineRule="auto"/>
        <w:ind w:left="567" w:right="567"/>
        <w:jc w:val="both"/>
        <w:rPr>
          <w:rFonts w:ascii="Palatino Linotype" w:eastAsia="MS Mincho" w:hAnsi="Palatino Linotype" w:cs="Arial"/>
          <w:b/>
          <w:i/>
        </w:rPr>
      </w:pPr>
    </w:p>
    <w:p w:rsidR="00C541AA" w:rsidRPr="00421A86" w:rsidRDefault="00C541AA" w:rsidP="00E5332B">
      <w:pPr>
        <w:spacing w:after="0" w:line="360" w:lineRule="auto"/>
        <w:ind w:left="567" w:right="567"/>
        <w:jc w:val="both"/>
        <w:rPr>
          <w:rFonts w:ascii="Palatino Linotype" w:eastAsia="MS Mincho" w:hAnsi="Palatino Linotype" w:cs="Arial"/>
          <w:i/>
        </w:rPr>
      </w:pPr>
      <w:r w:rsidRPr="00421A86">
        <w:rPr>
          <w:rFonts w:ascii="Palatino Linotype" w:eastAsia="MS Mincho" w:hAnsi="Palatino Linotype" w:cs="Arial"/>
          <w:i/>
        </w:rPr>
        <w:t>“</w:t>
      </w:r>
      <w:r w:rsidRPr="00421A86">
        <w:rPr>
          <w:rFonts w:ascii="Palatino Linotype" w:eastAsia="MS Mincho" w:hAnsi="Palatino Linotype" w:cs="Arial"/>
          <w:b/>
          <w:i/>
        </w:rPr>
        <w:t>Artículo 18</w:t>
      </w:r>
      <w:r w:rsidRPr="00421A86">
        <w:rPr>
          <w:rFonts w:ascii="Palatino Linotype" w:eastAsia="MS Mincho" w:hAnsi="Palatino Linotype" w:cs="Arial"/>
          <w:i/>
        </w:rPr>
        <w:t xml:space="preserve">.- </w:t>
      </w:r>
      <w:r w:rsidRPr="00421A86">
        <w:rPr>
          <w:rFonts w:ascii="Palatino Linotype" w:eastAsia="MS Mincho" w:hAnsi="Palatino Linotype" w:cs="Arial"/>
          <w:b/>
          <w:i/>
        </w:rPr>
        <w:t xml:space="preserve">La autoridad administrativa o el Tribunal </w:t>
      </w:r>
      <w:r w:rsidRPr="00421A86">
        <w:rPr>
          <w:rFonts w:ascii="Palatino Linotype" w:eastAsia="MS Mincho" w:hAnsi="Palatino Linotype" w:cs="Arial"/>
          <w:b/>
          <w:i/>
          <w:u w:val="single"/>
        </w:rPr>
        <w:t>acordarán la acumulación de los expedientes</w:t>
      </w:r>
      <w:r w:rsidRPr="00421A86">
        <w:rPr>
          <w:rFonts w:ascii="Palatino Linotype" w:eastAsia="MS Mincho" w:hAnsi="Palatino Linotype" w:cs="Arial"/>
          <w:b/>
          <w:i/>
        </w:rPr>
        <w:t xml:space="preserve"> del procedimiento y proceso administrativo que ante ellos se sigan, de oficio</w:t>
      </w:r>
      <w:r w:rsidRPr="00421A86">
        <w:rPr>
          <w:rFonts w:ascii="Palatino Linotype" w:eastAsia="MS Mincho" w:hAnsi="Palatino Linotype" w:cs="Arial"/>
          <w:i/>
        </w:rPr>
        <w:t xml:space="preserve"> o a petición de parte, </w:t>
      </w:r>
      <w:r w:rsidRPr="00421A86">
        <w:rPr>
          <w:rFonts w:ascii="Palatino Linotype" w:eastAsia="MS Mincho" w:hAnsi="Palatino Linotype" w:cs="Arial"/>
          <w:b/>
          <w:i/>
          <w:u w:val="single"/>
        </w:rPr>
        <w:t>cuando las partes</w:t>
      </w:r>
      <w:r w:rsidRPr="00421A86">
        <w:rPr>
          <w:rFonts w:ascii="Palatino Linotype" w:eastAsia="MS Mincho" w:hAnsi="Palatino Linotype" w:cs="Arial"/>
          <w:i/>
        </w:rPr>
        <w:t xml:space="preserve"> o los actos administrativos </w:t>
      </w:r>
      <w:r w:rsidRPr="00421A86">
        <w:rPr>
          <w:rFonts w:ascii="Palatino Linotype" w:eastAsia="MS Mincho" w:hAnsi="Palatino Linotype" w:cs="Arial"/>
          <w:b/>
          <w:i/>
          <w:u w:val="single"/>
        </w:rPr>
        <w:t>sean iguales</w:t>
      </w:r>
      <w:r w:rsidRPr="00421A86">
        <w:rPr>
          <w:rFonts w:ascii="Palatino Linotype" w:eastAsia="MS Mincho" w:hAnsi="Palatino Linotype" w:cs="Arial"/>
          <w:i/>
        </w:rPr>
        <w:t xml:space="preserve">, se trate de actos conexos o </w:t>
      </w:r>
      <w:r w:rsidRPr="00421A86">
        <w:rPr>
          <w:rFonts w:ascii="Palatino Linotype" w:eastAsia="MS Mincho" w:hAnsi="Palatino Linotype" w:cs="Arial"/>
          <w:b/>
          <w:i/>
          <w:u w:val="single"/>
        </w:rPr>
        <w:t xml:space="preserve">resulte conveniente el trámite unificado de los asuntos, para evitar la emisión de resoluciones </w:t>
      </w:r>
      <w:r w:rsidRPr="00421A86">
        <w:rPr>
          <w:rFonts w:ascii="Palatino Linotype" w:eastAsia="MS Mincho" w:hAnsi="Palatino Linotype" w:cs="Arial"/>
          <w:b/>
          <w:i/>
          <w:u w:val="single"/>
        </w:rPr>
        <w:lastRenderedPageBreak/>
        <w:t>contradictorias</w:t>
      </w:r>
      <w:r w:rsidRPr="00421A86">
        <w:rPr>
          <w:rFonts w:ascii="Palatino Linotype" w:eastAsia="MS Mincho" w:hAnsi="Palatino Linotype" w:cs="Arial"/>
          <w:i/>
        </w:rPr>
        <w:t xml:space="preserve">. La misma regla se aplicará, en lo conducente, para la </w:t>
      </w:r>
      <w:r w:rsidR="00A744BF">
        <w:rPr>
          <w:rFonts w:ascii="Palatino Linotype" w:eastAsia="MS Mincho" w:hAnsi="Palatino Linotype" w:cs="Arial"/>
          <w:i/>
        </w:rPr>
        <w:t>separación de los expedientes.”</w:t>
      </w:r>
    </w:p>
    <w:p w:rsidR="00C541AA" w:rsidRPr="00421A86" w:rsidRDefault="00C541AA" w:rsidP="00D95A22">
      <w:pPr>
        <w:spacing w:line="360" w:lineRule="auto"/>
        <w:ind w:left="567" w:right="567"/>
        <w:jc w:val="both"/>
        <w:rPr>
          <w:rFonts w:ascii="Palatino Linotype" w:eastAsia="MS Mincho" w:hAnsi="Palatino Linotype" w:cs="Arial"/>
          <w:b/>
          <w:i/>
        </w:rPr>
      </w:pPr>
      <w:r w:rsidRPr="00421A86">
        <w:rPr>
          <w:rFonts w:ascii="Palatino Linotype" w:eastAsia="MS Mincho" w:hAnsi="Palatino Linotype" w:cs="Arial"/>
          <w:b/>
          <w:i/>
        </w:rPr>
        <w:t xml:space="preserve">Ley de Transparencia y Acceso a la Información Pública del Estado de México y Municipios </w:t>
      </w:r>
    </w:p>
    <w:p w:rsidR="00C541AA" w:rsidRPr="00421A86" w:rsidRDefault="00C541AA" w:rsidP="00E5332B">
      <w:pPr>
        <w:spacing w:after="0" w:line="360" w:lineRule="auto"/>
        <w:ind w:left="567" w:right="567"/>
        <w:jc w:val="both"/>
        <w:rPr>
          <w:rFonts w:ascii="Palatino Linotype" w:eastAsia="MS Mincho" w:hAnsi="Palatino Linotype" w:cs="Arial"/>
          <w:i/>
        </w:rPr>
      </w:pPr>
      <w:r w:rsidRPr="00421A86">
        <w:rPr>
          <w:rFonts w:ascii="Palatino Linotype" w:eastAsia="MS Mincho" w:hAnsi="Palatino Linotype" w:cs="Arial"/>
          <w:i/>
        </w:rPr>
        <w:t>“</w:t>
      </w:r>
      <w:r w:rsidRPr="00421A86">
        <w:rPr>
          <w:rFonts w:ascii="Palatino Linotype" w:eastAsia="MS Mincho" w:hAnsi="Palatino Linotype" w:cs="Arial"/>
          <w:b/>
          <w:i/>
        </w:rPr>
        <w:t xml:space="preserve">Artículo 195. </w:t>
      </w:r>
      <w:r w:rsidRPr="00421A86">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rsidR="00C541AA" w:rsidRPr="00C541AA" w:rsidRDefault="00C541AA" w:rsidP="00E5332B">
      <w:pPr>
        <w:pStyle w:val="Prrafodelista"/>
        <w:spacing w:after="0" w:line="360" w:lineRule="auto"/>
        <w:ind w:left="567"/>
        <w:jc w:val="both"/>
        <w:rPr>
          <w:rFonts w:ascii="Palatino Linotype" w:eastAsia="MS Mincho" w:hAnsi="Palatino Linotype" w:cs="Arial"/>
          <w:i/>
        </w:rPr>
      </w:pPr>
      <w:r w:rsidRPr="00421A86">
        <w:rPr>
          <w:rFonts w:ascii="Palatino Linotype" w:eastAsia="MS Mincho" w:hAnsi="Palatino Linotype" w:cs="Arial"/>
          <w:i/>
        </w:rPr>
        <w:t>(Énfasis añadido)</w:t>
      </w:r>
    </w:p>
    <w:p w:rsidR="00244765" w:rsidRPr="00244765" w:rsidRDefault="00244765" w:rsidP="00D95A22">
      <w:pPr>
        <w:spacing w:after="0" w:line="360" w:lineRule="auto"/>
        <w:contextualSpacing/>
        <w:jc w:val="both"/>
        <w:rPr>
          <w:rFonts w:ascii="Palatino Linotype" w:eastAsia="Calibri" w:hAnsi="Palatino Linotype" w:cs="Arial"/>
          <w:sz w:val="24"/>
          <w:szCs w:val="24"/>
          <w:lang w:val="es-ES" w:eastAsia="es-ES"/>
        </w:rPr>
      </w:pPr>
    </w:p>
    <w:p w:rsidR="00D32F07" w:rsidRDefault="00D32F07" w:rsidP="00F55249">
      <w:pPr>
        <w:pStyle w:val="Prrafodelista"/>
        <w:numPr>
          <w:ilvl w:val="0"/>
          <w:numId w:val="2"/>
        </w:numPr>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Para dar cumplimiento al derecho otorgado en el párrafo anterior el </w:t>
      </w:r>
      <w:r w:rsidR="00163316" w:rsidRPr="00163316">
        <w:rPr>
          <w:rFonts w:ascii="Palatino Linotype" w:hAnsi="Palatino Linotype"/>
          <w:b/>
          <w:sz w:val="24"/>
          <w:szCs w:val="24"/>
        </w:rPr>
        <w:t>SUJETO OBLIGADO</w:t>
      </w:r>
      <w:r>
        <w:rPr>
          <w:rFonts w:ascii="Palatino Linotype" w:hAnsi="Palatino Linotype"/>
          <w:sz w:val="24"/>
          <w:szCs w:val="24"/>
        </w:rPr>
        <w:t xml:space="preserve">, en fecha uno (01) de octubre de 2018 </w:t>
      </w:r>
      <w:r w:rsidR="00163316">
        <w:rPr>
          <w:rFonts w:ascii="Palatino Linotype" w:hAnsi="Palatino Linotype"/>
          <w:sz w:val="24"/>
          <w:szCs w:val="24"/>
        </w:rPr>
        <w:t xml:space="preserve">rindió en los tres expedientes su informe justificado, en el cual no se anexa su contenido, en razón a que no modificó su respuesta inicial. </w:t>
      </w:r>
    </w:p>
    <w:p w:rsidR="00815846" w:rsidRDefault="00815846" w:rsidP="00815846">
      <w:pPr>
        <w:pStyle w:val="Prrafodelista"/>
        <w:spacing w:after="0" w:line="360" w:lineRule="auto"/>
        <w:ind w:left="0"/>
        <w:jc w:val="both"/>
        <w:rPr>
          <w:rFonts w:ascii="Palatino Linotype" w:hAnsi="Palatino Linotype"/>
          <w:sz w:val="24"/>
          <w:szCs w:val="24"/>
        </w:rPr>
      </w:pPr>
    </w:p>
    <w:p w:rsidR="00B31373" w:rsidRPr="004F6F41" w:rsidRDefault="00815846" w:rsidP="00B31373">
      <w:pPr>
        <w:pStyle w:val="Prrafodelista"/>
        <w:numPr>
          <w:ilvl w:val="0"/>
          <w:numId w:val="2"/>
        </w:numPr>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El diecisiete (17) de octubre del dos mil dieciocho con base en lo dispuesto por el artículo 182 y la fracción V del artículo 185 de la Ley de Transparencia y Acceso a la Información Pública del Estado de México y Municipios, el Comisionado Ponente celebró una audiencia con la finalidad de </w:t>
      </w:r>
      <w:r w:rsidR="00E659ED">
        <w:rPr>
          <w:rFonts w:ascii="Palatino Linotype" w:hAnsi="Palatino Linotype"/>
          <w:sz w:val="24"/>
          <w:szCs w:val="24"/>
        </w:rPr>
        <w:t>determinar la naturaleza de la infor</w:t>
      </w:r>
      <w:r w:rsidR="00982BCA">
        <w:rPr>
          <w:rFonts w:ascii="Palatino Linotype" w:hAnsi="Palatino Linotype"/>
          <w:sz w:val="24"/>
          <w:szCs w:val="24"/>
        </w:rPr>
        <w:t xml:space="preserve">mación que se busca clasificar </w:t>
      </w:r>
      <w:r w:rsidR="00E659ED">
        <w:rPr>
          <w:rFonts w:ascii="Palatino Linotype" w:hAnsi="Palatino Linotype"/>
          <w:sz w:val="24"/>
          <w:szCs w:val="24"/>
        </w:rPr>
        <w:t>de la cual se levantó un acta circunstanciad</w:t>
      </w:r>
      <w:r w:rsidR="00FF1477">
        <w:rPr>
          <w:rFonts w:ascii="Palatino Linotype" w:hAnsi="Palatino Linotype"/>
          <w:sz w:val="24"/>
          <w:szCs w:val="24"/>
        </w:rPr>
        <w:t xml:space="preserve"> </w:t>
      </w:r>
      <w:r w:rsidR="00C8182C">
        <w:rPr>
          <w:rFonts w:ascii="Palatino Linotype" w:hAnsi="Palatino Linotype"/>
          <w:sz w:val="24"/>
          <w:szCs w:val="24"/>
        </w:rPr>
        <w:t>y a su efecto</w:t>
      </w:r>
      <w:r w:rsidR="00452DD1">
        <w:rPr>
          <w:rFonts w:ascii="Palatino Linotype" w:hAnsi="Palatino Linotype"/>
          <w:sz w:val="24"/>
          <w:szCs w:val="24"/>
        </w:rPr>
        <w:t xml:space="preserve"> se inserta imagen. </w:t>
      </w:r>
    </w:p>
    <w:p w:rsidR="00452DD1" w:rsidRPr="00452DD1" w:rsidRDefault="00452DD1" w:rsidP="00452DD1">
      <w:pPr>
        <w:pStyle w:val="Prrafodelista"/>
        <w:spacing w:after="0" w:line="360" w:lineRule="auto"/>
        <w:ind w:left="567"/>
        <w:jc w:val="center"/>
        <w:rPr>
          <w:rFonts w:ascii="Palatino Linotype" w:hAnsi="Palatino Linotype"/>
          <w:sz w:val="24"/>
          <w:szCs w:val="24"/>
        </w:rPr>
      </w:pPr>
      <w:r>
        <w:rPr>
          <w:noProof/>
          <w:lang w:eastAsia="es-MX"/>
        </w:rPr>
        <w:lastRenderedPageBreak/>
        <w:drawing>
          <wp:inline distT="0" distB="0" distL="0" distR="0" wp14:anchorId="330BF0E1" wp14:editId="4C5ABEF5">
            <wp:extent cx="3475990" cy="3556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181" t="34891" r="35487" b="7047"/>
                    <a:stretch/>
                  </pic:blipFill>
                  <pic:spPr bwMode="auto">
                    <a:xfrm>
                      <a:off x="0" y="0"/>
                      <a:ext cx="3492952" cy="3573352"/>
                    </a:xfrm>
                    <a:prstGeom prst="rect">
                      <a:avLst/>
                    </a:prstGeom>
                    <a:ln>
                      <a:noFill/>
                    </a:ln>
                    <a:extLst>
                      <a:ext uri="{53640926-AAD7-44D8-BBD7-CCE9431645EC}">
                        <a14:shadowObscured xmlns:a14="http://schemas.microsoft.com/office/drawing/2010/main"/>
                      </a:ext>
                    </a:extLst>
                  </pic:spPr>
                </pic:pic>
              </a:graphicData>
            </a:graphic>
          </wp:inline>
        </w:drawing>
      </w:r>
    </w:p>
    <w:p w:rsidR="00452DD1" w:rsidRDefault="00452DD1" w:rsidP="00452DD1">
      <w:pPr>
        <w:pStyle w:val="Prrafodelista"/>
        <w:spacing w:after="0" w:line="360" w:lineRule="auto"/>
        <w:ind w:left="567"/>
        <w:jc w:val="center"/>
        <w:rPr>
          <w:rFonts w:ascii="Palatino Linotype" w:hAnsi="Palatino Linotype"/>
          <w:sz w:val="24"/>
          <w:szCs w:val="24"/>
        </w:rPr>
      </w:pPr>
      <w:r>
        <w:rPr>
          <w:noProof/>
          <w:lang w:eastAsia="es-MX"/>
        </w:rPr>
        <w:drawing>
          <wp:inline distT="0" distB="0" distL="0" distR="0" wp14:anchorId="49623376" wp14:editId="1AE980BD">
            <wp:extent cx="3536505" cy="337185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841" t="19721" r="35317" b="23544"/>
                    <a:stretch/>
                  </pic:blipFill>
                  <pic:spPr bwMode="auto">
                    <a:xfrm>
                      <a:off x="0" y="0"/>
                      <a:ext cx="3536505" cy="3371850"/>
                    </a:xfrm>
                    <a:prstGeom prst="rect">
                      <a:avLst/>
                    </a:prstGeom>
                    <a:ln>
                      <a:noFill/>
                    </a:ln>
                    <a:extLst>
                      <a:ext uri="{53640926-AAD7-44D8-BBD7-CCE9431645EC}">
                        <a14:shadowObscured xmlns:a14="http://schemas.microsoft.com/office/drawing/2010/main"/>
                      </a:ext>
                    </a:extLst>
                  </pic:spPr>
                </pic:pic>
              </a:graphicData>
            </a:graphic>
          </wp:inline>
        </w:drawing>
      </w:r>
    </w:p>
    <w:p w:rsidR="00452DD1" w:rsidRDefault="00452DD1" w:rsidP="00452DD1">
      <w:pPr>
        <w:pStyle w:val="Prrafodelista"/>
        <w:spacing w:after="0" w:line="360" w:lineRule="auto"/>
        <w:ind w:left="567"/>
        <w:jc w:val="center"/>
        <w:rPr>
          <w:rFonts w:ascii="Palatino Linotype" w:hAnsi="Palatino Linotype"/>
          <w:sz w:val="24"/>
          <w:szCs w:val="24"/>
        </w:rPr>
      </w:pPr>
      <w:r>
        <w:rPr>
          <w:noProof/>
          <w:lang w:eastAsia="es-MX"/>
        </w:rPr>
        <w:lastRenderedPageBreak/>
        <w:drawing>
          <wp:inline distT="0" distB="0" distL="0" distR="0" wp14:anchorId="6B914DE1" wp14:editId="657527CD">
            <wp:extent cx="3460750" cy="36195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499" t="25788" r="35488" b="16869"/>
                    <a:stretch/>
                  </pic:blipFill>
                  <pic:spPr bwMode="auto">
                    <a:xfrm>
                      <a:off x="0" y="0"/>
                      <a:ext cx="3470518" cy="3629716"/>
                    </a:xfrm>
                    <a:prstGeom prst="rect">
                      <a:avLst/>
                    </a:prstGeom>
                    <a:ln>
                      <a:noFill/>
                    </a:ln>
                    <a:extLst>
                      <a:ext uri="{53640926-AAD7-44D8-BBD7-CCE9431645EC}">
                        <a14:shadowObscured xmlns:a14="http://schemas.microsoft.com/office/drawing/2010/main"/>
                      </a:ext>
                    </a:extLst>
                  </pic:spPr>
                </pic:pic>
              </a:graphicData>
            </a:graphic>
          </wp:inline>
        </w:drawing>
      </w:r>
    </w:p>
    <w:p w:rsidR="00C71ED4" w:rsidRDefault="00C71ED4" w:rsidP="00452DD1">
      <w:pPr>
        <w:pStyle w:val="Prrafodelista"/>
        <w:spacing w:after="0" w:line="360" w:lineRule="auto"/>
        <w:ind w:left="567"/>
        <w:jc w:val="center"/>
        <w:rPr>
          <w:rFonts w:ascii="Palatino Linotype" w:hAnsi="Palatino Linotype"/>
          <w:sz w:val="24"/>
          <w:szCs w:val="24"/>
        </w:rPr>
      </w:pPr>
      <w:r>
        <w:rPr>
          <w:noProof/>
          <w:lang w:eastAsia="es-MX"/>
        </w:rPr>
        <w:drawing>
          <wp:inline distT="0" distB="0" distL="0" distR="0" wp14:anchorId="3AC216D1" wp14:editId="03FE65ED">
            <wp:extent cx="3448685" cy="3028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841" t="27306" r="35487" b="20206"/>
                    <a:stretch/>
                  </pic:blipFill>
                  <pic:spPr bwMode="auto">
                    <a:xfrm>
                      <a:off x="0" y="0"/>
                      <a:ext cx="3454164" cy="3033762"/>
                    </a:xfrm>
                    <a:prstGeom prst="rect">
                      <a:avLst/>
                    </a:prstGeom>
                    <a:ln>
                      <a:noFill/>
                    </a:ln>
                    <a:extLst>
                      <a:ext uri="{53640926-AAD7-44D8-BBD7-CCE9431645EC}">
                        <a14:shadowObscured xmlns:a14="http://schemas.microsoft.com/office/drawing/2010/main"/>
                      </a:ext>
                    </a:extLst>
                  </pic:spPr>
                </pic:pic>
              </a:graphicData>
            </a:graphic>
          </wp:inline>
        </w:drawing>
      </w:r>
    </w:p>
    <w:p w:rsidR="00244765" w:rsidRDefault="00C8182C" w:rsidP="00C8182C">
      <w:pPr>
        <w:pStyle w:val="Prrafodelista"/>
        <w:spacing w:after="0" w:line="360" w:lineRule="auto"/>
        <w:ind w:left="567"/>
        <w:jc w:val="center"/>
        <w:rPr>
          <w:rFonts w:ascii="Palatino Linotype" w:hAnsi="Palatino Linotype"/>
          <w:sz w:val="24"/>
          <w:szCs w:val="24"/>
        </w:rPr>
      </w:pPr>
      <w:r>
        <w:rPr>
          <w:noProof/>
          <w:lang w:eastAsia="es-MX"/>
        </w:rPr>
        <w:lastRenderedPageBreak/>
        <w:drawing>
          <wp:inline distT="0" distB="0" distL="0" distR="0" wp14:anchorId="512C7342" wp14:editId="2F3F1FC2">
            <wp:extent cx="3486150" cy="37236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28" t="27306" r="35146" b="18690"/>
                    <a:stretch/>
                  </pic:blipFill>
                  <pic:spPr bwMode="auto">
                    <a:xfrm>
                      <a:off x="0" y="0"/>
                      <a:ext cx="3489641" cy="3727369"/>
                    </a:xfrm>
                    <a:prstGeom prst="rect">
                      <a:avLst/>
                    </a:prstGeom>
                    <a:ln>
                      <a:noFill/>
                    </a:ln>
                    <a:extLst>
                      <a:ext uri="{53640926-AAD7-44D8-BBD7-CCE9431645EC}">
                        <a14:shadowObscured xmlns:a14="http://schemas.microsoft.com/office/drawing/2010/main"/>
                      </a:ext>
                    </a:extLst>
                  </pic:spPr>
                </pic:pic>
              </a:graphicData>
            </a:graphic>
          </wp:inline>
        </w:drawing>
      </w:r>
    </w:p>
    <w:p w:rsidR="00C8182C" w:rsidRPr="00163316" w:rsidRDefault="00C8182C" w:rsidP="00C8182C">
      <w:pPr>
        <w:pStyle w:val="Prrafodelista"/>
        <w:spacing w:after="0" w:line="360" w:lineRule="auto"/>
        <w:ind w:left="567"/>
        <w:jc w:val="center"/>
        <w:rPr>
          <w:rFonts w:ascii="Palatino Linotype" w:hAnsi="Palatino Linotype"/>
          <w:sz w:val="24"/>
          <w:szCs w:val="24"/>
        </w:rPr>
      </w:pPr>
    </w:p>
    <w:p w:rsidR="00F762AC" w:rsidRPr="00F762AC" w:rsidRDefault="00354999" w:rsidP="00F762AC">
      <w:pPr>
        <w:pStyle w:val="Prrafodelista"/>
        <w:numPr>
          <w:ilvl w:val="0"/>
          <w:numId w:val="2"/>
        </w:numPr>
        <w:spacing w:after="0" w:line="360" w:lineRule="auto"/>
        <w:ind w:left="0" w:firstLine="0"/>
        <w:jc w:val="both"/>
        <w:rPr>
          <w:rFonts w:ascii="Palatino Linotype" w:hAnsi="Palatino Linotype"/>
          <w:sz w:val="24"/>
          <w:szCs w:val="24"/>
        </w:rPr>
      </w:pPr>
      <w:r w:rsidRPr="00200794">
        <w:rPr>
          <w:rFonts w:ascii="Palatino Linotype" w:hAnsi="Palatino Linotype"/>
          <w:sz w:val="24"/>
          <w:szCs w:val="24"/>
        </w:rPr>
        <w:t>El Comisionado Ponent</w:t>
      </w:r>
      <w:r w:rsidR="00C71ED4">
        <w:rPr>
          <w:rFonts w:ascii="Palatino Linotype" w:hAnsi="Palatino Linotype"/>
          <w:sz w:val="24"/>
          <w:szCs w:val="24"/>
        </w:rPr>
        <w:t xml:space="preserve">e decretó el cierre de </w:t>
      </w:r>
      <w:r w:rsidR="006869D2">
        <w:rPr>
          <w:rFonts w:ascii="Palatino Linotype" w:hAnsi="Palatino Linotype"/>
          <w:sz w:val="24"/>
          <w:szCs w:val="24"/>
        </w:rPr>
        <w:t>instrucc</w:t>
      </w:r>
      <w:r w:rsidR="006869D2" w:rsidRPr="00C71ED4">
        <w:rPr>
          <w:rFonts w:ascii="Palatino Linotype" w:hAnsi="Palatino Linotype"/>
          <w:sz w:val="24"/>
          <w:szCs w:val="24"/>
        </w:rPr>
        <w:t>ión</w:t>
      </w:r>
      <w:r w:rsidRPr="00C71ED4">
        <w:rPr>
          <w:rFonts w:ascii="Palatino Linotype" w:hAnsi="Palatino Linotype" w:cs="Arial"/>
          <w:sz w:val="24"/>
          <w:szCs w:val="24"/>
        </w:rPr>
        <w:t xml:space="preserve"> </w:t>
      </w:r>
      <w:r w:rsidRPr="00C71ED4">
        <w:rPr>
          <w:rFonts w:ascii="Palatino Linotype" w:hAnsi="Palatino Linotype"/>
          <w:sz w:val="24"/>
          <w:szCs w:val="24"/>
        </w:rPr>
        <w:t xml:space="preserve">mediante acuerdo de fecha </w:t>
      </w:r>
      <w:r w:rsidR="00200794" w:rsidRPr="00C71ED4">
        <w:rPr>
          <w:rFonts w:ascii="Palatino Linotype" w:hAnsi="Palatino Linotype"/>
          <w:sz w:val="24"/>
          <w:szCs w:val="24"/>
        </w:rPr>
        <w:t>treinta (30</w:t>
      </w:r>
      <w:r w:rsidR="00A56228" w:rsidRPr="00C71ED4">
        <w:rPr>
          <w:rFonts w:ascii="Palatino Linotype" w:hAnsi="Palatino Linotype"/>
          <w:sz w:val="24"/>
          <w:szCs w:val="24"/>
        </w:rPr>
        <w:t xml:space="preserve">) de </w:t>
      </w:r>
      <w:r w:rsidR="00200794" w:rsidRPr="00C71ED4">
        <w:rPr>
          <w:rFonts w:ascii="Palatino Linotype" w:hAnsi="Palatino Linotype"/>
          <w:sz w:val="24"/>
          <w:szCs w:val="24"/>
        </w:rPr>
        <w:t>octubr</w:t>
      </w:r>
      <w:r w:rsidR="00F67150" w:rsidRPr="00C71ED4">
        <w:rPr>
          <w:rFonts w:ascii="Palatino Linotype" w:hAnsi="Palatino Linotype"/>
          <w:sz w:val="24"/>
          <w:szCs w:val="24"/>
        </w:rPr>
        <w:t>e</w:t>
      </w:r>
      <w:r w:rsidRPr="00C71ED4">
        <w:rPr>
          <w:rFonts w:ascii="Palatino Linotype" w:hAnsi="Palatino Linotype"/>
          <w:sz w:val="24"/>
          <w:szCs w:val="24"/>
        </w:rPr>
        <w:t xml:space="preserve"> de la presente anualidad, </w:t>
      </w:r>
      <w:r w:rsidRPr="00C71ED4">
        <w:rPr>
          <w:rFonts w:ascii="Palatino Linotype" w:hAnsi="Palatino Linotype" w:cs="Arial"/>
          <w:sz w:val="24"/>
          <w:szCs w:val="24"/>
        </w:rPr>
        <w:t>por lo que, ordenó tur</w:t>
      </w:r>
      <w:r w:rsidR="00F762AC">
        <w:rPr>
          <w:rFonts w:ascii="Palatino Linotype" w:hAnsi="Palatino Linotype" w:cs="Arial"/>
          <w:sz w:val="24"/>
          <w:szCs w:val="24"/>
        </w:rPr>
        <w:t>nar el expediente a resolución.</w:t>
      </w:r>
    </w:p>
    <w:p w:rsidR="00F762AC" w:rsidRPr="00F762AC" w:rsidRDefault="00F762AC" w:rsidP="00F762AC">
      <w:pPr>
        <w:pStyle w:val="Prrafodelista"/>
        <w:spacing w:after="0" w:line="360" w:lineRule="auto"/>
        <w:ind w:left="0"/>
        <w:jc w:val="both"/>
        <w:rPr>
          <w:rFonts w:ascii="Palatino Linotype" w:hAnsi="Palatino Linotype"/>
          <w:sz w:val="24"/>
          <w:szCs w:val="24"/>
        </w:rPr>
      </w:pPr>
    </w:p>
    <w:p w:rsidR="00F762AC" w:rsidRPr="00F762AC" w:rsidRDefault="00F762AC" w:rsidP="00F762AC">
      <w:pPr>
        <w:pStyle w:val="Prrafodelista"/>
        <w:numPr>
          <w:ilvl w:val="0"/>
          <w:numId w:val="2"/>
        </w:numPr>
        <w:spacing w:after="0" w:line="360" w:lineRule="auto"/>
        <w:ind w:left="0" w:firstLine="0"/>
        <w:jc w:val="both"/>
        <w:rPr>
          <w:rFonts w:ascii="Palatino Linotype" w:hAnsi="Palatino Linotype"/>
          <w:sz w:val="24"/>
          <w:szCs w:val="24"/>
        </w:rPr>
      </w:pPr>
      <w:r w:rsidRPr="00F762AC">
        <w:rPr>
          <w:rFonts w:ascii="Palatino Linotype" w:eastAsia="Cambria" w:hAnsi="Palatino Linotype" w:cs="Times New Roman"/>
          <w:sz w:val="24"/>
          <w:szCs w:val="24"/>
        </w:rPr>
        <w:t xml:space="preserve">El día  treinta y uno (31) de octubre de dos mil dieciocho y con fundamento en el artículo 181 tercer párrafo de la Ley de Transparencia y Acceso a la Información Pública del Estado de México y Municipios, se notificó que plazo de 30 días para resolver el recurso de revisión, sería ampliado por un periodo de 15 días </w:t>
      </w:r>
      <w:r w:rsidRPr="00F762AC">
        <w:rPr>
          <w:rFonts w:ascii="Palatino Linotype" w:eastAsia="Cambria" w:hAnsi="Palatino Linotype" w:cs="Times New Roman"/>
          <w:sz w:val="24"/>
          <w:szCs w:val="24"/>
        </w:rPr>
        <w:lastRenderedPageBreak/>
        <w:t>hábiles adicionales; debido a la naturaleza, complejidad del asunto y para un mejor estudio.</w:t>
      </w:r>
    </w:p>
    <w:p w:rsidR="00354999" w:rsidRPr="00F762AC" w:rsidRDefault="00354999" w:rsidP="00F762AC">
      <w:pPr>
        <w:spacing w:after="0" w:line="360" w:lineRule="auto"/>
        <w:jc w:val="both"/>
        <w:rPr>
          <w:rFonts w:ascii="Palatino Linotype" w:hAnsi="Palatino Linotype"/>
          <w:sz w:val="24"/>
          <w:szCs w:val="24"/>
        </w:rPr>
      </w:pPr>
    </w:p>
    <w:p w:rsidR="00A612C0" w:rsidRDefault="00A612C0" w:rsidP="00D95A22">
      <w:pPr>
        <w:spacing w:after="0" w:line="360" w:lineRule="auto"/>
        <w:jc w:val="both"/>
        <w:rPr>
          <w:rFonts w:ascii="Palatino Linotype" w:hAnsi="Palatino Linotype"/>
          <w:sz w:val="24"/>
          <w:szCs w:val="24"/>
        </w:rPr>
      </w:pPr>
    </w:p>
    <w:p w:rsidR="00495F9A" w:rsidRDefault="00495F9A" w:rsidP="00D95A22">
      <w:pPr>
        <w:spacing w:after="0" w:line="360" w:lineRule="auto"/>
        <w:jc w:val="both"/>
        <w:rPr>
          <w:rFonts w:ascii="Palatino Linotype" w:hAnsi="Palatino Linotype"/>
          <w:sz w:val="24"/>
          <w:szCs w:val="24"/>
        </w:rPr>
      </w:pPr>
    </w:p>
    <w:p w:rsidR="00495F9A" w:rsidRPr="00A612C0" w:rsidRDefault="00495F9A" w:rsidP="00D95A22">
      <w:pPr>
        <w:spacing w:after="0" w:line="360" w:lineRule="auto"/>
        <w:jc w:val="both"/>
        <w:rPr>
          <w:rFonts w:ascii="Palatino Linotype" w:hAnsi="Palatino Linotype"/>
          <w:sz w:val="24"/>
          <w:szCs w:val="24"/>
        </w:rPr>
      </w:pPr>
    </w:p>
    <w:p w:rsidR="00495F9A" w:rsidRDefault="00792776" w:rsidP="00495F9A">
      <w:pPr>
        <w:keepNext/>
        <w:keepLines/>
        <w:spacing w:after="0" w:line="360" w:lineRule="auto"/>
        <w:jc w:val="center"/>
        <w:outlineLvl w:val="0"/>
        <w:rPr>
          <w:rFonts w:ascii="Palatino Linotype" w:eastAsia="MS Gothic" w:hAnsi="Palatino Linotype" w:cs="Times New Roman"/>
          <w:b/>
          <w:sz w:val="24"/>
          <w:szCs w:val="24"/>
        </w:rPr>
      </w:pPr>
      <w:bookmarkStart w:id="2" w:name="_Toc525814122"/>
      <w:r w:rsidRPr="003E585E">
        <w:rPr>
          <w:rFonts w:ascii="Palatino Linotype" w:eastAsia="MS Gothic" w:hAnsi="Palatino Linotype" w:cs="Times New Roman"/>
          <w:b/>
          <w:sz w:val="24"/>
          <w:szCs w:val="24"/>
        </w:rPr>
        <w:t>CONSIDERANDO</w:t>
      </w:r>
      <w:bookmarkEnd w:id="2"/>
    </w:p>
    <w:p w:rsidR="00C07697" w:rsidRPr="00C07697" w:rsidRDefault="00C07697" w:rsidP="00D95A22">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D95A22">
      <w:pPr>
        <w:keepNext/>
        <w:keepLines/>
        <w:spacing w:after="0" w:line="360" w:lineRule="auto"/>
        <w:outlineLvl w:val="0"/>
        <w:rPr>
          <w:rFonts w:ascii="Palatino Linotype" w:eastAsia="MS Gothic" w:hAnsi="Palatino Linotype" w:cs="Times New Roman"/>
          <w:b/>
          <w:sz w:val="24"/>
          <w:szCs w:val="26"/>
        </w:rPr>
      </w:pPr>
      <w:bookmarkStart w:id="3" w:name="_Toc525814123"/>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3"/>
    </w:p>
    <w:p w:rsidR="00792776" w:rsidRPr="003E585E" w:rsidRDefault="00792776" w:rsidP="00D95A22">
      <w:pPr>
        <w:spacing w:after="0" w:line="360" w:lineRule="auto"/>
      </w:pPr>
    </w:p>
    <w:p w:rsidR="00792776" w:rsidRPr="003E585E" w:rsidRDefault="00792776" w:rsidP="00F552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 vigésimo primero y vigésimo segundo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792776" w:rsidRPr="003E585E" w:rsidRDefault="00792776" w:rsidP="00D95A22">
      <w:pPr>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D95A22">
      <w:pPr>
        <w:keepNext/>
        <w:keepLines/>
        <w:spacing w:after="0" w:line="360" w:lineRule="auto"/>
        <w:outlineLvl w:val="0"/>
        <w:rPr>
          <w:rFonts w:ascii="Palatino Linotype" w:eastAsia="MS Gothic" w:hAnsi="Palatino Linotype" w:cs="Times New Roman"/>
          <w:b/>
          <w:sz w:val="24"/>
          <w:szCs w:val="26"/>
        </w:rPr>
      </w:pPr>
      <w:bookmarkStart w:id="4" w:name="_Toc525814124"/>
      <w:r w:rsidRPr="003E585E">
        <w:rPr>
          <w:rFonts w:ascii="Palatino Linotype" w:eastAsia="MS Mincho" w:hAnsi="Palatino Linotype" w:cstheme="majorBidi"/>
          <w:b/>
          <w:sz w:val="24"/>
          <w:szCs w:val="24"/>
          <w:lang w:val="es-ES_tradnl" w:eastAsia="es-ES"/>
        </w:rPr>
        <w:lastRenderedPageBreak/>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procedibilidad del recurso de revisión</w:t>
      </w:r>
      <w:r w:rsidRPr="003E585E">
        <w:rPr>
          <w:rFonts w:ascii="Palatino Linotype" w:eastAsia="MS Gothic" w:hAnsi="Palatino Linotype" w:cs="Times New Roman"/>
          <w:b/>
          <w:sz w:val="24"/>
          <w:szCs w:val="26"/>
        </w:rPr>
        <w:t>.</w:t>
      </w:r>
      <w:bookmarkEnd w:id="4"/>
    </w:p>
    <w:p w:rsidR="00792776" w:rsidRPr="003E585E" w:rsidRDefault="00792776" w:rsidP="00D95A22">
      <w:pPr>
        <w:spacing w:after="0" w:line="360" w:lineRule="auto"/>
        <w:ind w:left="720"/>
        <w:contextualSpacing/>
        <w:rPr>
          <w:rFonts w:ascii="Palatino Linotype" w:eastAsia="Calibri" w:hAnsi="Palatino Linotype" w:cs="Arial"/>
          <w:sz w:val="24"/>
          <w:szCs w:val="24"/>
          <w:lang w:val="es-ES_tradnl" w:eastAsia="es-ES"/>
        </w:rPr>
      </w:pPr>
    </w:p>
    <w:p w:rsidR="005E7BEE" w:rsidRPr="003E0CB2" w:rsidRDefault="005E7BEE" w:rsidP="005E7BE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240779">
        <w:rPr>
          <w:rFonts w:ascii="Palatino Linotype" w:eastAsia="Calibri" w:hAnsi="Palatino Linotype" w:cs="Arial"/>
          <w:sz w:val="24"/>
          <w:szCs w:val="24"/>
          <w:lang w:val="es-ES_tradnl" w:eastAsia="es-ES"/>
        </w:rPr>
        <w:t>doce</w:t>
      </w:r>
      <w:r>
        <w:rPr>
          <w:rFonts w:ascii="Palatino Linotype" w:eastAsia="Calibri" w:hAnsi="Palatino Linotype" w:cs="Arial"/>
          <w:sz w:val="24"/>
          <w:szCs w:val="24"/>
          <w:lang w:val="es-ES_tradnl" w:eastAsia="es-ES"/>
        </w:rPr>
        <w:t xml:space="preserve"> (12</w:t>
      </w:r>
      <w:r w:rsidRPr="003E0CB2">
        <w:rPr>
          <w:rFonts w:ascii="Palatino Linotype" w:eastAsia="Calibri" w:hAnsi="Palatino Linotype" w:cs="Arial"/>
          <w:sz w:val="24"/>
          <w:szCs w:val="24"/>
          <w:lang w:val="es-ES_tradnl" w:eastAsia="es-ES"/>
        </w:rPr>
        <w:t xml:space="preserve">) de </w:t>
      </w:r>
      <w:r>
        <w:rPr>
          <w:rFonts w:ascii="Palatino Linotype" w:eastAsia="Calibri" w:hAnsi="Palatino Linotype" w:cs="Arial"/>
          <w:sz w:val="24"/>
          <w:szCs w:val="24"/>
          <w:lang w:val="es-ES_tradnl" w:eastAsia="es-ES"/>
        </w:rPr>
        <w:t>septiembre de dos mil dieciocho</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Pr>
          <w:rFonts w:ascii="Palatino Linotype" w:eastAsiaTheme="minorEastAsia" w:hAnsi="Palatino Linotype" w:cs="Arial"/>
          <w:sz w:val="24"/>
          <w:szCs w:val="24"/>
          <w:lang w:val="es-ES_tradnl" w:eastAsia="es-ES"/>
        </w:rPr>
        <w:t xml:space="preserve"> transcurrió del día </w:t>
      </w:r>
      <w:r w:rsidR="00240779">
        <w:rPr>
          <w:rFonts w:ascii="Palatino Linotype" w:eastAsiaTheme="minorEastAsia" w:hAnsi="Palatino Linotype" w:cs="Arial"/>
          <w:sz w:val="24"/>
          <w:szCs w:val="24"/>
          <w:lang w:val="es-ES_tradnl" w:eastAsia="es-ES"/>
        </w:rPr>
        <w:t xml:space="preserve">trece </w:t>
      </w:r>
      <w:r>
        <w:rPr>
          <w:rFonts w:ascii="Palatino Linotype" w:eastAsiaTheme="minorEastAsia" w:hAnsi="Palatino Linotype" w:cs="Arial"/>
          <w:sz w:val="24"/>
          <w:szCs w:val="24"/>
          <w:lang w:val="es-ES_tradnl" w:eastAsia="es-ES"/>
        </w:rPr>
        <w:t>(13</w:t>
      </w:r>
      <w:r w:rsidRPr="003E0CB2">
        <w:rPr>
          <w:rFonts w:ascii="Palatino Linotype" w:eastAsiaTheme="minorEastAsia" w:hAnsi="Palatino Linotype" w:cs="Arial"/>
          <w:sz w:val="24"/>
          <w:szCs w:val="24"/>
          <w:lang w:val="es-ES_tradnl" w:eastAsia="es-ES"/>
        </w:rPr>
        <w:t>) de</w:t>
      </w:r>
      <w:r>
        <w:rPr>
          <w:rFonts w:ascii="Palatino Linotype" w:eastAsiaTheme="minorEastAsia" w:hAnsi="Palatino Linotype" w:cs="Arial"/>
          <w:sz w:val="24"/>
          <w:szCs w:val="24"/>
          <w:lang w:val="es-ES_tradnl" w:eastAsia="es-ES"/>
        </w:rPr>
        <w:t xml:space="preserve"> septiembre</w:t>
      </w:r>
      <w:r w:rsidRPr="003E0CB2">
        <w:rPr>
          <w:rFonts w:ascii="Palatino Linotype" w:eastAsiaTheme="minorEastAsia" w:hAnsi="Palatino Linotype" w:cs="Arial"/>
          <w:sz w:val="24"/>
          <w:szCs w:val="24"/>
          <w:lang w:val="es-ES_tradnl" w:eastAsia="es-ES"/>
        </w:rPr>
        <w:t xml:space="preserve"> al </w:t>
      </w:r>
      <w:r>
        <w:rPr>
          <w:rFonts w:ascii="Palatino Linotype" w:eastAsiaTheme="minorEastAsia" w:hAnsi="Palatino Linotype" w:cs="Arial"/>
          <w:sz w:val="24"/>
          <w:szCs w:val="24"/>
          <w:lang w:val="es-ES_tradnl" w:eastAsia="es-ES"/>
        </w:rPr>
        <w:t>tres (03</w:t>
      </w:r>
      <w:r w:rsidRPr="003E0CB2">
        <w:rPr>
          <w:rFonts w:ascii="Palatino Linotype" w:eastAsiaTheme="minorEastAsia" w:hAnsi="Palatino Linotype" w:cs="Arial"/>
          <w:sz w:val="24"/>
          <w:szCs w:val="24"/>
          <w:lang w:val="es-ES_tradnl" w:eastAsia="es-ES"/>
        </w:rPr>
        <w:t xml:space="preserve">) de </w:t>
      </w:r>
      <w:r>
        <w:rPr>
          <w:rFonts w:ascii="Palatino Linotype" w:eastAsiaTheme="minorEastAsia" w:hAnsi="Palatino Linotype" w:cs="Arial"/>
          <w:sz w:val="24"/>
          <w:szCs w:val="24"/>
          <w:lang w:val="es-ES_tradnl" w:eastAsia="es-ES"/>
        </w:rPr>
        <w:t>octubre</w:t>
      </w:r>
      <w:r w:rsidRPr="003E0CB2">
        <w:rPr>
          <w:rFonts w:ascii="Palatino Linotype" w:eastAsiaTheme="minorEastAsia" w:hAnsi="Palatino Linotype" w:cs="Arial"/>
          <w:sz w:val="24"/>
          <w:szCs w:val="24"/>
          <w:lang w:val="es-ES_tradnl" w:eastAsia="es-ES"/>
        </w:rPr>
        <w:t xml:space="preserve"> de dos mil dieciocho; en consecuencia, presentó </w:t>
      </w:r>
      <w:r>
        <w:rPr>
          <w:rFonts w:ascii="Palatino Linotype" w:eastAsiaTheme="minorEastAsia" w:hAnsi="Palatino Linotype" w:cs="Arial"/>
          <w:sz w:val="24"/>
          <w:szCs w:val="24"/>
          <w:lang w:val="es-ES_tradnl" w:eastAsia="es-ES"/>
        </w:rPr>
        <w:t>su inconformidad el día diecisiete (17</w:t>
      </w:r>
      <w:r w:rsidRPr="003E0CB2">
        <w:rPr>
          <w:rFonts w:ascii="Palatino Linotype" w:eastAsiaTheme="minorEastAsia" w:hAnsi="Palatino Linotype" w:cs="Arial"/>
          <w:sz w:val="24"/>
          <w:szCs w:val="24"/>
          <w:lang w:val="es-ES_tradnl" w:eastAsia="es-ES"/>
        </w:rPr>
        <w:t xml:space="preserve">) de septiembre de dos mil dieciocho, por lo que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5E7BEE" w:rsidRPr="00EE204C" w:rsidRDefault="005E7BEE" w:rsidP="005E7BEE">
      <w:pPr>
        <w:spacing w:after="0" w:line="360" w:lineRule="auto"/>
        <w:ind w:left="360" w:right="49"/>
        <w:contextualSpacing/>
        <w:jc w:val="both"/>
        <w:rPr>
          <w:rFonts w:ascii="Palatino Linotype" w:eastAsiaTheme="minorEastAsia" w:hAnsi="Palatino Linotype"/>
          <w:sz w:val="24"/>
          <w:szCs w:val="24"/>
          <w:highlight w:val="yellow"/>
          <w:lang w:val="es-ES_tradnl" w:eastAsia="es-ES"/>
        </w:rPr>
      </w:pPr>
    </w:p>
    <w:p w:rsidR="00EB3DB0" w:rsidRDefault="005E7BEE" w:rsidP="00D95A2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7BEE" w:rsidRPr="005E7BEE" w:rsidRDefault="005E7BEE" w:rsidP="005E7BEE">
      <w:pPr>
        <w:spacing w:after="0" w:line="360" w:lineRule="auto"/>
        <w:ind w:right="49"/>
        <w:contextualSpacing/>
        <w:jc w:val="both"/>
        <w:rPr>
          <w:rFonts w:ascii="Palatino Linotype" w:eastAsiaTheme="minorEastAsia" w:hAnsi="Palatino Linotype"/>
          <w:sz w:val="24"/>
          <w:szCs w:val="24"/>
          <w:lang w:val="es-ES_tradnl" w:eastAsia="es-ES"/>
        </w:rPr>
      </w:pPr>
    </w:p>
    <w:p w:rsidR="00F55249" w:rsidRDefault="00B85136" w:rsidP="00D95A22">
      <w:pPr>
        <w:spacing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Pr>
          <w:rFonts w:ascii="Palatino Linotype" w:hAnsi="Palatino Linotype"/>
          <w:b/>
          <w:sz w:val="24"/>
          <w:szCs w:val="24"/>
        </w:rPr>
        <w:t>TERCERO.</w:t>
      </w:r>
      <w:r w:rsidR="00EB3DB0" w:rsidRPr="00B85136">
        <w:rPr>
          <w:rFonts w:ascii="Palatino Linotype" w:hAnsi="Palatino Linotype"/>
          <w:b/>
          <w:sz w:val="24"/>
          <w:szCs w:val="24"/>
        </w:rPr>
        <w:t xml:space="preserve"> </w:t>
      </w:r>
      <w:r w:rsidR="00163316">
        <w:rPr>
          <w:rFonts w:ascii="Palatino Linotype" w:hAnsi="Palatino Linotype"/>
          <w:b/>
          <w:sz w:val="24"/>
          <w:szCs w:val="24"/>
        </w:rPr>
        <w:t>Planteamiento de la Litis.</w:t>
      </w:r>
    </w:p>
    <w:p w:rsidR="00163316" w:rsidRPr="002E7B04" w:rsidRDefault="00163316" w:rsidP="00F55249">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color w:val="000000"/>
          <w:sz w:val="14"/>
          <w:szCs w:val="14"/>
          <w:shd w:val="clear" w:color="auto" w:fill="FFFFFF"/>
          <w:lang w:val="es-ES_tradnl"/>
        </w:rPr>
        <w:t>  </w:t>
      </w:r>
      <w:r w:rsidRPr="00B85136">
        <w:rPr>
          <w:rFonts w:ascii="Palatino Linotype" w:hAnsi="Palatino Linotype"/>
          <w:color w:val="222222"/>
          <w:sz w:val="24"/>
          <w:shd w:val="clear" w:color="auto" w:fill="FFFFFF"/>
          <w:lang w:val="es-ES_tradnl"/>
        </w:rPr>
        <w:t xml:space="preserve">Es oportuno establecer que el  Recurso Revisión tiene como finalidad reparar cualquier posible afectación al derecho de acceso a la información pública </w:t>
      </w:r>
      <w:r w:rsidRPr="00B85136">
        <w:rPr>
          <w:rFonts w:ascii="Palatino Linotype" w:hAnsi="Palatino Linotype"/>
          <w:color w:val="222222"/>
          <w:sz w:val="24"/>
          <w:shd w:val="clear" w:color="auto" w:fill="FFFFFF"/>
          <w:lang w:val="es-ES_tradnl"/>
        </w:rPr>
        <w:lastRenderedPageBreak/>
        <w:t>en términos del Título Octavo de la </w:t>
      </w:r>
      <w:r w:rsidRPr="00B85136">
        <w:rPr>
          <w:rFonts w:ascii="Palatino Linotype" w:hAnsi="Palatino Linotype"/>
          <w:b/>
          <w:bCs/>
          <w:color w:val="222222"/>
          <w:sz w:val="24"/>
          <w:shd w:val="clear" w:color="auto" w:fill="FFFFFF"/>
          <w:lang w:val="es-ES"/>
        </w:rPr>
        <w:t>Ley de Transparencia y Acceso a la Información Pública del Estado de México y Municipios</w:t>
      </w:r>
      <w:r w:rsidRPr="00B85136">
        <w:rPr>
          <w:rFonts w:ascii="Palatino Linotype" w:hAnsi="Palatino Linotype"/>
          <w:color w:val="222222"/>
          <w:sz w:val="24"/>
          <w:shd w:val="clear" w:color="auto" w:fill="FFFFFF"/>
          <w:lang w:val="es-ES_tradnl"/>
        </w:rPr>
        <w:t> y determinar la confirmación; revocación o modificación; desechamiento o sobreseimiento; y en su caso ordenar la entrega de la información, respecto a las respuestas o falta de ellas por parte de los Sujetos Obligados.</w:t>
      </w:r>
    </w:p>
    <w:p w:rsidR="00163316" w:rsidRDefault="00163316" w:rsidP="00D95A22">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Default="00163316" w:rsidP="00F55249">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Así d</w:t>
      </w:r>
      <w:r w:rsidRPr="00C9537D">
        <w:rPr>
          <w:rFonts w:ascii="Palatino Linotype" w:eastAsia="MS Mincho" w:hAnsi="Palatino Linotype" w:cs="Times New Roman"/>
          <w:sz w:val="24"/>
        </w:rPr>
        <w:t xml:space="preserve">e las constancias que obran en el expediente electrónico, se advierte que la particular mediante </w:t>
      </w:r>
      <w:r>
        <w:rPr>
          <w:rFonts w:ascii="Palatino Linotype" w:eastAsia="MS Mincho" w:hAnsi="Palatino Linotype" w:cs="Times New Roman"/>
          <w:sz w:val="24"/>
        </w:rPr>
        <w:t xml:space="preserve">diversas </w:t>
      </w:r>
      <w:r w:rsidRPr="00C9537D">
        <w:rPr>
          <w:rFonts w:ascii="Palatino Linotype" w:eastAsia="MS Mincho" w:hAnsi="Palatino Linotype" w:cs="Times New Roman"/>
          <w:sz w:val="24"/>
        </w:rPr>
        <w:t>solicitud</w:t>
      </w:r>
      <w:r>
        <w:rPr>
          <w:rFonts w:ascii="Palatino Linotype" w:eastAsia="MS Mincho" w:hAnsi="Palatino Linotype" w:cs="Times New Roman"/>
          <w:sz w:val="24"/>
        </w:rPr>
        <w:t>es</w:t>
      </w:r>
      <w:r w:rsidRPr="00C9537D">
        <w:rPr>
          <w:rFonts w:ascii="Palatino Linotype" w:eastAsia="MS Mincho" w:hAnsi="Palatino Linotype" w:cs="Times New Roman"/>
          <w:sz w:val="24"/>
        </w:rPr>
        <w:t xml:space="preserve"> de información vía de acceso SAIMEX, pidió se le proporcionara la información relativa a:</w:t>
      </w:r>
    </w:p>
    <w:p w:rsidR="00163316" w:rsidRPr="00163316" w:rsidRDefault="00163316" w:rsidP="00D95A22">
      <w:pPr>
        <w:tabs>
          <w:tab w:val="left" w:pos="142"/>
        </w:tabs>
        <w:spacing w:after="0" w:line="360" w:lineRule="auto"/>
        <w:ind w:right="49"/>
        <w:jc w:val="both"/>
        <w:rPr>
          <w:rFonts w:ascii="Palatino Linotype" w:eastAsia="MS Mincho" w:hAnsi="Palatino Linotype" w:cs="Times New Roman"/>
          <w:sz w:val="24"/>
        </w:rPr>
      </w:pPr>
    </w:p>
    <w:p w:rsidR="00163316" w:rsidRPr="00375752" w:rsidRDefault="00163316" w:rsidP="00581DCC">
      <w:pPr>
        <w:pStyle w:val="Prrafodelista"/>
        <w:tabs>
          <w:tab w:val="left" w:pos="142"/>
        </w:tabs>
        <w:spacing w:after="0" w:line="360" w:lineRule="auto"/>
        <w:ind w:left="567" w:right="567"/>
        <w:jc w:val="both"/>
        <w:rPr>
          <w:rFonts w:ascii="Palatino Linotype" w:eastAsia="MS Mincho" w:hAnsi="Palatino Linotype" w:cs="Times New Roman"/>
          <w:b/>
          <w:sz w:val="24"/>
          <w:szCs w:val="24"/>
        </w:rPr>
      </w:pPr>
      <w:r w:rsidRPr="00375752">
        <w:rPr>
          <w:rFonts w:ascii="Palatino Linotype" w:eastAsia="Times New Roman" w:hAnsi="Palatino Linotype" w:cs="Arial"/>
          <w:b/>
          <w:bCs/>
          <w:sz w:val="24"/>
          <w:szCs w:val="24"/>
          <w:lang w:eastAsia="es-ES"/>
        </w:rPr>
        <w:t>Copia de los convenios que el ISSEMYM ha firmado con los, MUNICIPIOS, SISTEMAS MUNICIPALES DIF y con los ORGANISMOS AUXILIARES ESTATALES para reestructuración de deuda e importes pendientes de pago en los años 2015, 2016, 2017 y 2018.</w:t>
      </w:r>
    </w:p>
    <w:p w:rsidR="00163316" w:rsidRPr="00163316" w:rsidRDefault="00163316" w:rsidP="00D95A22">
      <w:pPr>
        <w:pStyle w:val="Prrafodelista"/>
        <w:tabs>
          <w:tab w:val="left" w:pos="142"/>
        </w:tabs>
        <w:spacing w:after="0" w:line="360" w:lineRule="auto"/>
        <w:ind w:right="49"/>
        <w:jc w:val="both"/>
        <w:rPr>
          <w:rFonts w:ascii="Palatino Linotype" w:eastAsia="MS Mincho" w:hAnsi="Palatino Linotype" w:cs="Times New Roman"/>
          <w:sz w:val="24"/>
        </w:rPr>
      </w:pPr>
    </w:p>
    <w:p w:rsidR="00163316" w:rsidRPr="002E7B04" w:rsidRDefault="00163316" w:rsidP="00F55249">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2E7B04">
        <w:rPr>
          <w:rFonts w:ascii="Palatino Linotype" w:eastAsia="MS Mincho" w:hAnsi="Palatino Linotype" w:cs="Times New Roman"/>
          <w:sz w:val="24"/>
        </w:rPr>
        <w:t xml:space="preserve">El </w:t>
      </w:r>
      <w:r w:rsidRPr="00163316">
        <w:rPr>
          <w:rFonts w:ascii="Palatino Linotype" w:eastAsia="MS Mincho" w:hAnsi="Palatino Linotype" w:cs="Times New Roman"/>
          <w:b/>
          <w:sz w:val="24"/>
        </w:rPr>
        <w:t>SUJETO OBLIGADO</w:t>
      </w:r>
      <w:r w:rsidRPr="002E7B04">
        <w:rPr>
          <w:rFonts w:ascii="Palatino Linotype" w:eastAsia="MS Mincho" w:hAnsi="Palatino Linotype" w:cs="Times New Roman"/>
          <w:sz w:val="24"/>
        </w:rPr>
        <w:t xml:space="preserve"> </w:t>
      </w:r>
      <w:r>
        <w:rPr>
          <w:rFonts w:ascii="Palatino Linotype" w:eastAsia="MS Mincho" w:hAnsi="Palatino Linotype" w:cs="Times New Roman"/>
          <w:sz w:val="24"/>
        </w:rPr>
        <w:t>en primer término solicitó una ampliaci</w:t>
      </w:r>
      <w:r w:rsidR="00291EC4">
        <w:rPr>
          <w:rFonts w:ascii="Palatino Linotype" w:eastAsia="MS Mincho" w:hAnsi="Palatino Linotype" w:cs="Times New Roman"/>
          <w:sz w:val="24"/>
        </w:rPr>
        <w:t xml:space="preserve">ón de plazo, con el propósito de allegarse de la información solicitada por el particular, posteriormente dio respuesta a las solicitudes de información, en las cuales se puede advertir que éste pretende clasificar la información como reservada, argumentando que causaría un daño serio a las actividades de fiscalización, verificación, inspección de recaudación de contribuciones. </w:t>
      </w:r>
    </w:p>
    <w:p w:rsidR="00163316" w:rsidRDefault="00163316" w:rsidP="00D95A22">
      <w:pPr>
        <w:pStyle w:val="Prrafodelista"/>
        <w:tabs>
          <w:tab w:val="left" w:pos="142"/>
        </w:tabs>
        <w:spacing w:after="0" w:line="360" w:lineRule="auto"/>
        <w:ind w:left="426" w:right="49"/>
        <w:jc w:val="both"/>
        <w:rPr>
          <w:rFonts w:ascii="Palatino Linotype" w:eastAsia="MS Mincho" w:hAnsi="Palatino Linotype" w:cs="Times New Roman"/>
          <w:sz w:val="24"/>
          <w:highlight w:val="yellow"/>
        </w:rPr>
      </w:pPr>
    </w:p>
    <w:p w:rsidR="00163316" w:rsidRPr="005E01F7" w:rsidRDefault="00291EC4" w:rsidP="00F55249">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lastRenderedPageBreak/>
        <w:t>Por consiguiente el</w:t>
      </w:r>
      <w:r w:rsidR="00163316" w:rsidRPr="002E7B04">
        <w:rPr>
          <w:rFonts w:ascii="Palatino Linotype" w:eastAsia="MS Mincho" w:hAnsi="Palatino Linotype" w:cs="Times New Roman"/>
          <w:sz w:val="24"/>
        </w:rPr>
        <w:t xml:space="preserve"> recurrente, interpone rec</w:t>
      </w:r>
      <w:r>
        <w:rPr>
          <w:rFonts w:ascii="Palatino Linotype" w:eastAsia="MS Mincho" w:hAnsi="Palatino Linotype" w:cs="Times New Roman"/>
          <w:sz w:val="24"/>
        </w:rPr>
        <w:t xml:space="preserve">urso de revisión, argumentando que se le niega el acceso a la información al ser clasificada como reservada y al no exponer ni probar cuáles eran las razones de interés público que justifiquen la clasificación de la información, </w:t>
      </w:r>
      <w:r w:rsidR="00163316">
        <w:rPr>
          <w:rFonts w:ascii="Palatino Linotype" w:eastAsia="MS Mincho" w:hAnsi="Palatino Linotype" w:cs="Times New Roman"/>
          <w:sz w:val="24"/>
        </w:rPr>
        <w:t xml:space="preserve">configurando con ello la </w:t>
      </w:r>
      <w:r>
        <w:rPr>
          <w:rFonts w:ascii="Palatino Linotype" w:eastAsia="MS Mincho" w:hAnsi="Palatino Linotype" w:cs="Times New Roman"/>
          <w:sz w:val="24"/>
        </w:rPr>
        <w:t>hipótesis prevista</w:t>
      </w:r>
      <w:r w:rsidR="00163316">
        <w:rPr>
          <w:rFonts w:ascii="Palatino Linotype" w:eastAsia="MS Mincho" w:hAnsi="Palatino Linotype" w:cs="Times New Roman"/>
          <w:b/>
          <w:i/>
          <w:sz w:val="24"/>
        </w:rPr>
        <w:t xml:space="preserve"> </w:t>
      </w:r>
      <w:r>
        <w:rPr>
          <w:rFonts w:ascii="Palatino Linotype" w:eastAsia="MS Mincho" w:hAnsi="Palatino Linotype" w:cs="Times New Roman"/>
          <w:sz w:val="24"/>
        </w:rPr>
        <w:t xml:space="preserve">en la fracción </w:t>
      </w:r>
      <w:r w:rsidR="00163316">
        <w:rPr>
          <w:rFonts w:ascii="Palatino Linotype" w:eastAsia="MS Mincho" w:hAnsi="Palatino Linotype" w:cs="Times New Roman"/>
          <w:sz w:val="24"/>
        </w:rPr>
        <w:t xml:space="preserve">II del artículo 179 de la Ley de la materia. Asimismo, en el plazo señalado para realizar manifestaciones, la particular manifestó lo que a su derecho convino y el sujeto obligado omitió rendir su informe justificado. </w:t>
      </w:r>
    </w:p>
    <w:p w:rsidR="00163316" w:rsidRPr="004C20EF" w:rsidRDefault="00163316" w:rsidP="00D95A22">
      <w:pPr>
        <w:pStyle w:val="Prrafodelista"/>
        <w:spacing w:line="360" w:lineRule="auto"/>
        <w:rPr>
          <w:rFonts w:ascii="Palatino Linotype" w:eastAsia="MS Mincho" w:hAnsi="Palatino Linotype" w:cs="Times New Roman"/>
          <w:sz w:val="24"/>
        </w:rPr>
      </w:pPr>
    </w:p>
    <w:p w:rsidR="00163316" w:rsidRPr="00200794" w:rsidRDefault="00163316" w:rsidP="00D95A22">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200794">
        <w:rPr>
          <w:rFonts w:ascii="Palatino Linotype" w:eastAsia="MS Mincho" w:hAnsi="Palatino Linotype" w:cs="Times New Roman"/>
          <w:sz w:val="24"/>
        </w:rPr>
        <w:t xml:space="preserve">Es por ello que, esta ponencia estudiará las actuaciones de las partes, </w:t>
      </w:r>
      <w:r w:rsidR="00200794" w:rsidRPr="00200794">
        <w:rPr>
          <w:rFonts w:ascii="Palatino Linotype" w:eastAsia="MS Mincho" w:hAnsi="Palatino Linotype" w:cs="Times New Roman"/>
          <w:sz w:val="24"/>
        </w:rPr>
        <w:t xml:space="preserve">con la finalidad de dictar la resolución correspondiente. </w:t>
      </w:r>
    </w:p>
    <w:p w:rsidR="00200794" w:rsidRPr="00200794" w:rsidRDefault="00200794" w:rsidP="00200794">
      <w:pPr>
        <w:pStyle w:val="Prrafodelista"/>
        <w:tabs>
          <w:tab w:val="left" w:pos="66"/>
          <w:tab w:val="left" w:pos="142"/>
        </w:tabs>
        <w:spacing w:after="0" w:line="360" w:lineRule="auto"/>
        <w:ind w:left="0" w:right="49"/>
        <w:jc w:val="both"/>
        <w:rPr>
          <w:rFonts w:ascii="Palatino Linotype" w:eastAsia="MS Mincho" w:hAnsi="Palatino Linotype" w:cs="Times New Roman"/>
          <w:sz w:val="24"/>
          <w:highlight w:val="yellow"/>
        </w:rPr>
      </w:pPr>
    </w:p>
    <w:p w:rsidR="00A0112A" w:rsidRDefault="00163316" w:rsidP="0099284A">
      <w:pPr>
        <w:spacing w:after="0" w:line="360" w:lineRule="auto"/>
        <w:jc w:val="both"/>
        <w:rPr>
          <w:rFonts w:ascii="Palatino Linotype" w:hAnsi="Palatino Linotype"/>
          <w:b/>
          <w:sz w:val="24"/>
          <w:szCs w:val="24"/>
        </w:rPr>
      </w:pPr>
      <w:r>
        <w:rPr>
          <w:rFonts w:ascii="Palatino Linotype" w:hAnsi="Palatino Linotype"/>
          <w:b/>
          <w:sz w:val="24"/>
          <w:szCs w:val="24"/>
        </w:rPr>
        <w:t xml:space="preserve">CUARTO. Temas de Previo y Especial Pronunciamiento. </w:t>
      </w:r>
    </w:p>
    <w:p w:rsidR="0099284A" w:rsidRPr="0099284A" w:rsidRDefault="0099284A" w:rsidP="0099284A">
      <w:pPr>
        <w:spacing w:after="0" w:line="360" w:lineRule="auto"/>
        <w:jc w:val="both"/>
        <w:rPr>
          <w:rFonts w:ascii="Palatino Linotype" w:hAnsi="Palatino Linotype"/>
          <w:b/>
          <w:sz w:val="24"/>
          <w:szCs w:val="24"/>
        </w:rPr>
      </w:pPr>
    </w:p>
    <w:p w:rsidR="00A0112A" w:rsidRPr="004C1002" w:rsidRDefault="00A0112A" w:rsidP="004C1002">
      <w:pPr>
        <w:pStyle w:val="Prrafodelista"/>
        <w:numPr>
          <w:ilvl w:val="0"/>
          <w:numId w:val="21"/>
        </w:numPr>
        <w:tabs>
          <w:tab w:val="left" w:pos="142"/>
        </w:tabs>
        <w:spacing w:after="0" w:line="360" w:lineRule="auto"/>
        <w:ind w:right="49"/>
        <w:jc w:val="both"/>
        <w:rPr>
          <w:rFonts w:ascii="Palatino Linotype" w:eastAsia="MS Mincho" w:hAnsi="Palatino Linotype" w:cs="Times New Roman"/>
          <w:b/>
          <w:sz w:val="24"/>
        </w:rPr>
      </w:pPr>
      <w:r w:rsidRPr="004C1002">
        <w:rPr>
          <w:rFonts w:ascii="Palatino Linotype" w:eastAsia="MS Mincho" w:hAnsi="Palatino Linotype" w:cs="Times New Roman"/>
          <w:b/>
          <w:sz w:val="24"/>
        </w:rPr>
        <w:t xml:space="preserve">De la legalidad de la prórroga para responder a la solicitud. </w:t>
      </w:r>
    </w:p>
    <w:p w:rsidR="00A0112A" w:rsidRPr="00A0112A" w:rsidRDefault="00A0112A" w:rsidP="00D95A22">
      <w:pPr>
        <w:tabs>
          <w:tab w:val="left" w:pos="142"/>
        </w:tabs>
        <w:spacing w:after="0" w:line="360" w:lineRule="auto"/>
        <w:ind w:left="360" w:right="49"/>
        <w:jc w:val="both"/>
        <w:rPr>
          <w:rFonts w:ascii="Palatino Linotype" w:eastAsia="MS Mincho" w:hAnsi="Palatino Linotype" w:cs="Times New Roman"/>
          <w:b/>
          <w:sz w:val="24"/>
        </w:rPr>
      </w:pPr>
      <w:r w:rsidRPr="00A0112A">
        <w:rPr>
          <w:rFonts w:ascii="Palatino Linotype" w:eastAsia="MS Mincho" w:hAnsi="Palatino Linotype" w:cs="Times New Roman"/>
          <w:b/>
          <w:sz w:val="24"/>
        </w:rPr>
        <w:t xml:space="preserve"> </w:t>
      </w:r>
    </w:p>
    <w:p w:rsidR="00A0112A" w:rsidRPr="00A0112A" w:rsidRDefault="00A0112A" w:rsidP="00D95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Pr>
          <w:rFonts w:ascii="Palatino Linotype" w:eastAsia="MS Mincho" w:hAnsi="Palatino Linotype" w:cs="Times New Roman"/>
          <w:sz w:val="24"/>
        </w:rPr>
        <w:t xml:space="preserve">Antes de </w:t>
      </w:r>
      <w:r w:rsidR="00581DCC">
        <w:rPr>
          <w:rFonts w:ascii="Palatino Linotype" w:eastAsia="MS Mincho" w:hAnsi="Palatino Linotype" w:cs="Times New Roman"/>
          <w:sz w:val="24"/>
        </w:rPr>
        <w:t>iniciar</w:t>
      </w:r>
      <w:r>
        <w:rPr>
          <w:rFonts w:ascii="Palatino Linotype" w:eastAsia="MS Mincho" w:hAnsi="Palatino Linotype" w:cs="Times New Roman"/>
          <w:sz w:val="24"/>
        </w:rPr>
        <w:t xml:space="preserve"> con el estudio del asunto que nos ocu</w:t>
      </w:r>
      <w:r w:rsidR="00375752">
        <w:rPr>
          <w:rFonts w:ascii="Palatino Linotype" w:eastAsia="MS Mincho" w:hAnsi="Palatino Linotype" w:cs="Times New Roman"/>
          <w:sz w:val="24"/>
        </w:rPr>
        <w:t>pa, es necesario analizar la pró</w:t>
      </w:r>
      <w:r>
        <w:rPr>
          <w:rFonts w:ascii="Palatino Linotype" w:eastAsia="MS Mincho" w:hAnsi="Palatino Linotype" w:cs="Times New Roman"/>
          <w:sz w:val="24"/>
        </w:rPr>
        <w:t xml:space="preserve">rroga determinada </w:t>
      </w:r>
      <w:r w:rsidR="003C27E0">
        <w:rPr>
          <w:rFonts w:ascii="Palatino Linotype" w:eastAsia="MS Mincho" w:hAnsi="Palatino Linotype" w:cs="Times New Roman"/>
          <w:sz w:val="24"/>
        </w:rPr>
        <w:t xml:space="preserve">inicialmente </w:t>
      </w:r>
      <w:r>
        <w:rPr>
          <w:rFonts w:ascii="Palatino Linotype" w:eastAsia="MS Mincho" w:hAnsi="Palatino Linotype" w:cs="Times New Roman"/>
          <w:sz w:val="24"/>
        </w:rPr>
        <w:t xml:space="preserve">por el </w:t>
      </w:r>
      <w:r w:rsidRPr="003C27E0">
        <w:rPr>
          <w:rFonts w:ascii="Palatino Linotype" w:eastAsia="MS Mincho" w:hAnsi="Palatino Linotype" w:cs="Times New Roman"/>
          <w:b/>
          <w:sz w:val="24"/>
        </w:rPr>
        <w:t>SUJETO OBLIGADO</w:t>
      </w:r>
      <w:r>
        <w:rPr>
          <w:rFonts w:ascii="Palatino Linotype" w:eastAsia="MS Mincho" w:hAnsi="Palatino Linotype" w:cs="Times New Roman"/>
          <w:sz w:val="24"/>
        </w:rPr>
        <w:t xml:space="preserve">, </w:t>
      </w:r>
      <w:r w:rsidR="003C27E0">
        <w:rPr>
          <w:rFonts w:ascii="Palatino Linotype" w:eastAsia="MS Mincho" w:hAnsi="Palatino Linotype" w:cs="Times New Roman"/>
          <w:sz w:val="24"/>
        </w:rPr>
        <w:t xml:space="preserve">al tenor de lo siguiente: </w:t>
      </w:r>
    </w:p>
    <w:p w:rsidR="00A0112A" w:rsidRPr="00A0112A" w:rsidRDefault="00A0112A" w:rsidP="00D95A22">
      <w:pPr>
        <w:tabs>
          <w:tab w:val="left" w:pos="142"/>
        </w:tabs>
        <w:spacing w:after="0" w:line="360" w:lineRule="auto"/>
        <w:ind w:right="49"/>
        <w:jc w:val="both"/>
        <w:rPr>
          <w:rFonts w:ascii="Palatino Linotype" w:eastAsia="MS Mincho" w:hAnsi="Palatino Linotype" w:cs="Times New Roman"/>
          <w:b/>
          <w:sz w:val="24"/>
        </w:rPr>
      </w:pPr>
    </w:p>
    <w:p w:rsidR="00A0112A" w:rsidRPr="003C27E0" w:rsidRDefault="00A0112A" w:rsidP="00D95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Pr>
          <w:rFonts w:ascii="Palatino Linotype" w:eastAsia="MS Mincho" w:hAnsi="Palatino Linotype" w:cs="Times New Roman"/>
          <w:sz w:val="24"/>
        </w:rPr>
        <w:t xml:space="preserve">Un retraso en la entrega de las respuestas constituye una restricción al derecho de acceso a la información pública, la prorroga puede ser legitima siempre y cuando cumpla con las formalidades legalmente establecidas para ella. </w:t>
      </w:r>
    </w:p>
    <w:p w:rsidR="003C27E0" w:rsidRPr="003C27E0" w:rsidRDefault="003C27E0" w:rsidP="00D95A22">
      <w:pPr>
        <w:spacing w:line="360" w:lineRule="auto"/>
        <w:rPr>
          <w:rFonts w:ascii="Palatino Linotype" w:eastAsia="MS Mincho" w:hAnsi="Palatino Linotype" w:cs="Times New Roman"/>
          <w:b/>
          <w:sz w:val="24"/>
        </w:rPr>
      </w:pPr>
    </w:p>
    <w:p w:rsidR="003C27E0" w:rsidRPr="00375752" w:rsidRDefault="003C27E0" w:rsidP="00D95A22">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i/>
          <w:sz w:val="28"/>
          <w:szCs w:val="24"/>
          <w:lang w:val="es-ES_tradnl" w:eastAsia="es-ES"/>
        </w:rPr>
      </w:pPr>
      <w:r>
        <w:rPr>
          <w:rFonts w:ascii="Palatino Linotype" w:eastAsiaTheme="minorEastAsia" w:hAnsi="Palatino Linotype"/>
          <w:sz w:val="24"/>
          <w:szCs w:val="24"/>
          <w:lang w:val="es-ES_tradnl" w:eastAsia="es-ES"/>
        </w:rPr>
        <w:lastRenderedPageBreak/>
        <w:t>Para ello, e</w:t>
      </w:r>
      <w:r w:rsidRPr="00EE204C">
        <w:rPr>
          <w:rFonts w:ascii="Palatino Linotype" w:eastAsiaTheme="minorEastAsia" w:hAnsi="Palatino Linotype"/>
          <w:sz w:val="24"/>
          <w:szCs w:val="24"/>
          <w:lang w:val="es-ES_tradnl" w:eastAsia="es-ES"/>
        </w:rPr>
        <w:t xml:space="preserve">l artículo 163 de la Ley de Transparencia y Acceso a la Información Pública del Estado de México y Municipios señala </w:t>
      </w:r>
      <w:r>
        <w:rPr>
          <w:rFonts w:ascii="Palatino Linotype" w:eastAsiaTheme="minorEastAsia" w:hAnsi="Palatino Linotype"/>
          <w:sz w:val="24"/>
          <w:szCs w:val="24"/>
          <w:lang w:val="es-ES_tradnl" w:eastAsia="es-ES"/>
        </w:rPr>
        <w:t xml:space="preserve">que </w:t>
      </w:r>
      <w:r w:rsidRPr="00EE204C">
        <w:rPr>
          <w:rFonts w:ascii="Palatino Linotype" w:eastAsiaTheme="minorEastAsia" w:hAnsi="Palatino Linotype"/>
          <w:sz w:val="24"/>
          <w:szCs w:val="24"/>
          <w:lang w:val="es-ES_tradnl" w:eastAsia="es-ES"/>
        </w:rPr>
        <w:t>el plazo de 15 días para atender una solicitud de acceso a la información, puede</w:t>
      </w:r>
      <w:r>
        <w:rPr>
          <w:rFonts w:ascii="Palatino Linotype" w:eastAsiaTheme="minorEastAsia" w:hAnsi="Palatino Linotype"/>
          <w:sz w:val="24"/>
          <w:szCs w:val="24"/>
          <w:lang w:val="es-ES_tradnl" w:eastAsia="es-ES"/>
        </w:rPr>
        <w:t xml:space="preserve"> prorrogarse por siete días más </w:t>
      </w:r>
      <w:r w:rsidRPr="00EE204C">
        <w:rPr>
          <w:rFonts w:ascii="Palatino Linotype" w:eastAsiaTheme="minorEastAsia" w:hAnsi="Palatino Linotype" w:cs="Bookman Old Style"/>
          <w:i/>
          <w:sz w:val="24"/>
          <w:szCs w:val="24"/>
          <w:lang w:val="es-ES" w:eastAsia="es-ES"/>
        </w:rPr>
        <w:t>siempre y cuando existan razones fundadas y motivadas</w:t>
      </w:r>
      <w:r w:rsidRPr="00EE204C">
        <w:rPr>
          <w:rFonts w:ascii="Palatino Linotype" w:eastAsiaTheme="minorEastAsia" w:hAnsi="Palatino Linotype"/>
          <w:sz w:val="24"/>
          <w:szCs w:val="24"/>
          <w:lang w:val="es-ES_tradnl" w:eastAsia="es-ES"/>
        </w:rPr>
        <w:t xml:space="preserve">, además precisa que: </w:t>
      </w:r>
      <w:r w:rsidRPr="00EE204C">
        <w:rPr>
          <w:rFonts w:ascii="Palatino Linotype" w:eastAsiaTheme="minorEastAsia" w:hAnsi="Palatino Linotype" w:cs="Bookman Old Style"/>
          <w:i/>
          <w:sz w:val="24"/>
          <w:szCs w:val="24"/>
          <w:lang w:val="es-ES" w:eastAsia="es-ES"/>
        </w:rPr>
        <w:t xml:space="preserve">No podrán invocarse como causales de ampliación del plazo motivos que </w:t>
      </w:r>
      <w:r w:rsidRPr="00EE204C">
        <w:rPr>
          <w:rFonts w:ascii="Palatino Linotype" w:eastAsiaTheme="minorEastAsia" w:hAnsi="Palatino Linotype" w:cs="Bookman Old Style"/>
          <w:b/>
          <w:i/>
          <w:sz w:val="24"/>
          <w:szCs w:val="24"/>
          <w:lang w:val="es-ES" w:eastAsia="es-ES"/>
        </w:rPr>
        <w:t xml:space="preserve">supongan negligencia o descuido del sujeto obligado </w:t>
      </w:r>
      <w:r w:rsidRPr="00EE204C">
        <w:rPr>
          <w:rFonts w:ascii="Palatino Linotype" w:eastAsiaTheme="minorEastAsia" w:hAnsi="Palatino Linotype" w:cs="Bookman Old Style"/>
          <w:i/>
          <w:sz w:val="24"/>
          <w:szCs w:val="24"/>
          <w:lang w:val="es-ES" w:eastAsia="es-ES"/>
        </w:rPr>
        <w:t>en el desahogo de la solicitud.</w:t>
      </w:r>
    </w:p>
    <w:p w:rsidR="00375752" w:rsidRDefault="00375752" w:rsidP="00375752">
      <w:pPr>
        <w:pStyle w:val="Prrafodelista"/>
        <w:rPr>
          <w:rFonts w:ascii="Palatino Linotype" w:eastAsiaTheme="minorEastAsia" w:hAnsi="Palatino Linotype"/>
          <w:i/>
          <w:sz w:val="28"/>
          <w:szCs w:val="24"/>
          <w:lang w:val="es-ES_tradnl" w:eastAsia="es-ES"/>
        </w:rPr>
      </w:pPr>
    </w:p>
    <w:p w:rsidR="003C27E0" w:rsidRPr="003C27E0" w:rsidRDefault="003C27E0" w:rsidP="00D95A22">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EE204C">
        <w:rPr>
          <w:rFonts w:ascii="Palatino Linotype" w:eastAsia="Calibri" w:hAnsi="Palatino Linotype" w:cs="Arial"/>
          <w:sz w:val="24"/>
          <w:szCs w:val="24"/>
          <w:lang w:val="es-ES_tradnl" w:eastAsia="es-ES"/>
        </w:rPr>
        <w:t xml:space="preserve">En el caso que se resuelve, el </w:t>
      </w:r>
      <w:r w:rsidRPr="00EE204C">
        <w:rPr>
          <w:rFonts w:ascii="Palatino Linotype" w:eastAsia="Calibri" w:hAnsi="Palatino Linotype" w:cs="Arial"/>
          <w:b/>
          <w:sz w:val="24"/>
          <w:szCs w:val="24"/>
          <w:lang w:val="es-ES_tradnl" w:eastAsia="es-ES"/>
        </w:rPr>
        <w:t>SUJETO OBLIGADO</w:t>
      </w:r>
      <w:r w:rsidRPr="00EE204C">
        <w:rPr>
          <w:rFonts w:ascii="Palatino Linotype" w:eastAsia="Calibri" w:hAnsi="Palatino Linotype" w:cs="Arial"/>
          <w:sz w:val="24"/>
          <w:szCs w:val="24"/>
          <w:lang w:val="es-ES_tradnl" w:eastAsia="es-ES"/>
        </w:rPr>
        <w:t xml:space="preserve"> </w:t>
      </w:r>
      <w:r>
        <w:rPr>
          <w:rFonts w:ascii="Palatino Linotype" w:eastAsia="Calibri" w:hAnsi="Palatino Linotype" w:cs="Arial"/>
          <w:sz w:val="24"/>
          <w:szCs w:val="24"/>
          <w:lang w:val="es-ES_tradnl" w:eastAsia="es-ES"/>
        </w:rPr>
        <w:t xml:space="preserve">primeramente </w:t>
      </w:r>
      <w:r>
        <w:rPr>
          <w:rFonts w:ascii="Palatino Linotype" w:eastAsia="Calibri" w:hAnsi="Palatino Linotype" w:cs="Arial"/>
          <w:i/>
          <w:sz w:val="24"/>
          <w:szCs w:val="24"/>
          <w:lang w:val="es-ES_tradnl" w:eastAsia="es-ES"/>
        </w:rPr>
        <w:t>s</w:t>
      </w:r>
      <w:r w:rsidRPr="00481332">
        <w:rPr>
          <w:rFonts w:ascii="Palatino Linotype" w:eastAsia="Calibri" w:hAnsi="Palatino Linotype" w:cs="Arial"/>
          <w:sz w:val="24"/>
          <w:szCs w:val="24"/>
          <w:lang w:val="es-ES_tradnl" w:eastAsia="es-ES"/>
        </w:rPr>
        <w:t xml:space="preserve">olicitó una </w:t>
      </w:r>
      <w:r>
        <w:rPr>
          <w:rFonts w:ascii="Palatino Linotype" w:eastAsia="Calibri" w:hAnsi="Palatino Linotype" w:cs="Arial"/>
          <w:sz w:val="24"/>
          <w:szCs w:val="24"/>
          <w:lang w:val="es-ES_tradnl" w:eastAsia="es-ES"/>
        </w:rPr>
        <w:t>ampliación</w:t>
      </w:r>
      <w:r w:rsidRPr="00EE204C">
        <w:rPr>
          <w:rFonts w:ascii="Palatino Linotype" w:eastAsia="Calibri" w:hAnsi="Palatino Linotype" w:cs="Arial"/>
          <w:sz w:val="24"/>
          <w:szCs w:val="24"/>
          <w:lang w:val="es-ES_tradnl" w:eastAsia="es-ES"/>
        </w:rPr>
        <w:t xml:space="preserve"> </w:t>
      </w:r>
      <w:r>
        <w:rPr>
          <w:rFonts w:ascii="Palatino Linotype" w:eastAsia="Calibri" w:hAnsi="Palatino Linotype" w:cs="Arial"/>
          <w:sz w:val="24"/>
          <w:szCs w:val="24"/>
          <w:lang w:val="es-ES_tradnl" w:eastAsia="es-ES"/>
        </w:rPr>
        <w:t>d</w:t>
      </w:r>
      <w:r w:rsidRPr="00EE204C">
        <w:rPr>
          <w:rFonts w:ascii="Palatino Linotype" w:eastAsia="Calibri" w:hAnsi="Palatino Linotype" w:cs="Arial"/>
          <w:sz w:val="24"/>
          <w:szCs w:val="24"/>
          <w:lang w:val="es-ES_tradnl" w:eastAsia="es-ES"/>
        </w:rPr>
        <w:t xml:space="preserve">e plazo para atender la solicitud de acceso a la información pública, </w:t>
      </w:r>
      <w:r>
        <w:rPr>
          <w:rFonts w:ascii="Palatino Linotype" w:eastAsia="Calibri" w:hAnsi="Palatino Linotype" w:cs="Arial"/>
          <w:sz w:val="24"/>
          <w:szCs w:val="24"/>
          <w:lang w:val="es-ES_tradnl" w:eastAsia="es-ES"/>
        </w:rPr>
        <w:t xml:space="preserve">mediante la cual anexó su respectivo acuerdo de comité por medio del cual se realiza dicha ampliación. </w:t>
      </w:r>
    </w:p>
    <w:p w:rsidR="003C27E0" w:rsidRDefault="003C27E0" w:rsidP="0099284A">
      <w:pPr>
        <w:pStyle w:val="Prrafodelista"/>
        <w:spacing w:after="0" w:line="360" w:lineRule="auto"/>
        <w:rPr>
          <w:rFonts w:ascii="Palatino Linotype" w:eastAsia="Calibri" w:hAnsi="Palatino Linotype" w:cs="Arial"/>
          <w:i/>
          <w:sz w:val="24"/>
          <w:szCs w:val="24"/>
          <w:lang w:val="es-ES_tradnl" w:eastAsia="es-ES"/>
        </w:rPr>
      </w:pPr>
    </w:p>
    <w:p w:rsidR="003C27E0" w:rsidRPr="00F0552B" w:rsidRDefault="003C27E0" w:rsidP="00D95A22">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Pr>
          <w:rFonts w:ascii="Palatino Linotype" w:eastAsia="Calibri" w:hAnsi="Palatino Linotype" w:cs="Arial"/>
          <w:sz w:val="24"/>
          <w:szCs w:val="24"/>
          <w:lang w:val="es-ES_tradnl" w:eastAsia="es-ES"/>
        </w:rPr>
        <w:t xml:space="preserve">Cabe destacar que el acuerdo que emitió el Comité de Transparencia para la ampliación de plazo en la solicitud de información objeto de la presente resolución, no cumplió con las formalidades establecidas por la ley, en donde se señala que el plazo referido, únicamente podrá ampliarse hasta por siete días hábiles siempre y cuando existan razones debidamente fundadas y motivadas para tal efecto, de tal manera que el </w:t>
      </w:r>
      <w:r w:rsidRPr="00960A2E">
        <w:rPr>
          <w:rFonts w:ascii="Palatino Linotype" w:eastAsia="Calibri" w:hAnsi="Palatino Linotype" w:cs="Arial"/>
          <w:b/>
          <w:sz w:val="24"/>
          <w:szCs w:val="24"/>
          <w:lang w:val="es-ES_tradnl" w:eastAsia="es-ES"/>
        </w:rPr>
        <w:t>SUJETO OBLIGADO</w:t>
      </w:r>
      <w:r w:rsidR="0099284A">
        <w:rPr>
          <w:rFonts w:ascii="Palatino Linotype" w:eastAsia="Calibri" w:hAnsi="Palatino Linotype" w:cs="Arial"/>
          <w:b/>
          <w:sz w:val="24"/>
          <w:szCs w:val="24"/>
          <w:lang w:val="es-ES_tradnl" w:eastAsia="es-ES"/>
        </w:rPr>
        <w:t xml:space="preserve">. </w:t>
      </w:r>
    </w:p>
    <w:p w:rsidR="003C27E0" w:rsidRPr="00657275" w:rsidRDefault="003C27E0" w:rsidP="00D95A22">
      <w:pPr>
        <w:spacing w:after="0" w:line="360" w:lineRule="auto"/>
        <w:contextualSpacing/>
        <w:jc w:val="both"/>
        <w:rPr>
          <w:rFonts w:ascii="Palatino Linotype" w:eastAsia="Calibri" w:hAnsi="Palatino Linotype" w:cs="Arial"/>
          <w:i/>
          <w:sz w:val="24"/>
          <w:szCs w:val="24"/>
          <w:lang w:val="es-ES_tradnl" w:eastAsia="es-ES"/>
        </w:rPr>
      </w:pPr>
    </w:p>
    <w:p w:rsidR="00E659ED" w:rsidRPr="004C1002" w:rsidRDefault="00F0552B" w:rsidP="004C100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659ED">
        <w:rPr>
          <w:rFonts w:ascii="Palatino Linotype" w:eastAsia="MS Mincho" w:hAnsi="Palatino Linotype" w:cs="Times New Roman"/>
          <w:sz w:val="24"/>
        </w:rPr>
        <w:t xml:space="preserve">Ahora bien, </w:t>
      </w:r>
      <w:r w:rsidR="00375752">
        <w:rPr>
          <w:rFonts w:ascii="Palatino Linotype" w:eastAsia="MS Mincho" w:hAnsi="Palatino Linotype" w:cs="Times New Roman"/>
          <w:sz w:val="24"/>
        </w:rPr>
        <w:t>la pró</w:t>
      </w:r>
      <w:r w:rsidR="00E659ED" w:rsidRPr="00E659ED">
        <w:rPr>
          <w:rFonts w:ascii="Palatino Linotype" w:eastAsia="MS Mincho" w:hAnsi="Palatino Linotype" w:cs="Times New Roman"/>
          <w:sz w:val="24"/>
        </w:rPr>
        <w:t>rroga cuando es solicitada</w:t>
      </w:r>
      <w:r w:rsidR="00375752">
        <w:rPr>
          <w:rFonts w:ascii="Palatino Linotype" w:eastAsia="MS Mincho" w:hAnsi="Palatino Linotype" w:cs="Times New Roman"/>
          <w:sz w:val="24"/>
        </w:rPr>
        <w:t>,</w:t>
      </w:r>
      <w:r w:rsidRPr="00E659ED">
        <w:rPr>
          <w:rFonts w:ascii="Palatino Linotype" w:eastAsia="MS Mincho" w:hAnsi="Palatino Linotype" w:cs="Times New Roman"/>
          <w:sz w:val="24"/>
        </w:rPr>
        <w:t xml:space="preserve"> </w:t>
      </w:r>
      <w:r w:rsidR="00E659ED" w:rsidRPr="00E659ED">
        <w:rPr>
          <w:rFonts w:ascii="Palatino Linotype" w:eastAsia="MS Mincho" w:hAnsi="Palatino Linotype" w:cs="Times New Roman"/>
          <w:sz w:val="24"/>
        </w:rPr>
        <w:t xml:space="preserve">es con la finalidad de </w:t>
      </w:r>
      <w:r w:rsidR="00375752">
        <w:rPr>
          <w:rFonts w:ascii="Palatino Linotype" w:eastAsia="MS Mincho" w:hAnsi="Palatino Linotype" w:cs="Times New Roman"/>
          <w:sz w:val="24"/>
        </w:rPr>
        <w:t xml:space="preserve">tener un mayor rango de días para localizas </w:t>
      </w:r>
      <w:r w:rsidR="00E659ED" w:rsidRPr="00E659ED">
        <w:rPr>
          <w:rFonts w:ascii="Palatino Linotype" w:eastAsia="MS Mincho" w:hAnsi="Palatino Linotype" w:cs="Times New Roman"/>
          <w:sz w:val="24"/>
        </w:rPr>
        <w:t>dar r</w:t>
      </w:r>
      <w:r w:rsidRPr="00E659ED">
        <w:rPr>
          <w:rFonts w:ascii="Palatino Linotype" w:eastAsia="MS Mincho" w:hAnsi="Palatino Linotype" w:cs="Times New Roman"/>
          <w:sz w:val="24"/>
        </w:rPr>
        <w:t>e</w:t>
      </w:r>
      <w:r w:rsidR="00E659ED" w:rsidRPr="00E659ED">
        <w:rPr>
          <w:rFonts w:ascii="Palatino Linotype" w:eastAsia="MS Mincho" w:hAnsi="Palatino Linotype" w:cs="Times New Roman"/>
          <w:sz w:val="24"/>
        </w:rPr>
        <w:t>spuesta a la solicitud de información</w:t>
      </w:r>
      <w:r w:rsidRPr="00E659ED">
        <w:rPr>
          <w:rFonts w:ascii="Palatino Linotype" w:eastAsia="MS Mincho" w:hAnsi="Palatino Linotype" w:cs="Times New Roman"/>
          <w:sz w:val="24"/>
        </w:rPr>
        <w:t>, en el caso particular</w:t>
      </w:r>
      <w:r w:rsidR="00E659ED" w:rsidRPr="00E659ED">
        <w:rPr>
          <w:rFonts w:ascii="Palatino Linotype" w:eastAsia="MS Mincho" w:hAnsi="Palatino Linotype" w:cs="Times New Roman"/>
          <w:sz w:val="24"/>
        </w:rPr>
        <w:t>,</w:t>
      </w:r>
      <w:r w:rsidRPr="00E659ED">
        <w:rPr>
          <w:rFonts w:ascii="Palatino Linotype" w:eastAsia="MS Mincho" w:hAnsi="Palatino Linotype" w:cs="Times New Roman"/>
          <w:sz w:val="24"/>
        </w:rPr>
        <w:t xml:space="preserve"> se conjetura que el </w:t>
      </w:r>
      <w:r w:rsidRPr="00E659ED">
        <w:rPr>
          <w:rFonts w:ascii="Palatino Linotype" w:eastAsia="MS Mincho" w:hAnsi="Palatino Linotype" w:cs="Times New Roman"/>
          <w:b/>
          <w:sz w:val="24"/>
        </w:rPr>
        <w:t>SUJETO OBLIGADO</w:t>
      </w:r>
      <w:r w:rsidR="00E659ED" w:rsidRPr="00E659ED">
        <w:rPr>
          <w:rFonts w:ascii="Palatino Linotype" w:eastAsia="MS Mincho" w:hAnsi="Palatino Linotype" w:cs="Times New Roman"/>
          <w:b/>
          <w:sz w:val="24"/>
        </w:rPr>
        <w:t xml:space="preserve"> </w:t>
      </w:r>
      <w:r w:rsidR="00E659ED" w:rsidRPr="00E659ED">
        <w:rPr>
          <w:rFonts w:ascii="Palatino Linotype" w:eastAsia="MS Mincho" w:hAnsi="Palatino Linotype" w:cs="Times New Roman"/>
          <w:sz w:val="24"/>
        </w:rPr>
        <w:t xml:space="preserve">conocía desde en un </w:t>
      </w:r>
      <w:r w:rsidR="00E659ED" w:rsidRPr="00E659ED">
        <w:rPr>
          <w:rFonts w:ascii="Palatino Linotype" w:eastAsia="MS Mincho" w:hAnsi="Palatino Linotype" w:cs="Times New Roman"/>
          <w:sz w:val="24"/>
        </w:rPr>
        <w:lastRenderedPageBreak/>
        <w:t>principio el contenido de los convenios, por lo que era innecesario interponer una ampliación de plazo para dar contestación a la solicitud, si a posteriori ésta iba a ser clasificada.</w:t>
      </w:r>
    </w:p>
    <w:p w:rsidR="00E659ED" w:rsidRPr="00E659ED" w:rsidRDefault="00E659ED" w:rsidP="00E659ED">
      <w:pPr>
        <w:pStyle w:val="Prrafodelista"/>
        <w:tabs>
          <w:tab w:val="left" w:pos="142"/>
        </w:tabs>
        <w:spacing w:after="0" w:line="360" w:lineRule="auto"/>
        <w:ind w:left="0" w:right="49"/>
        <w:jc w:val="both"/>
        <w:rPr>
          <w:rFonts w:ascii="Palatino Linotype" w:eastAsia="MS Mincho" w:hAnsi="Palatino Linotype" w:cs="Times New Roman"/>
          <w:sz w:val="24"/>
          <w:highlight w:val="green"/>
        </w:rPr>
      </w:pPr>
    </w:p>
    <w:p w:rsidR="00B07E95" w:rsidRDefault="00EB3DB0" w:rsidP="00D95A22">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258141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Palatino Linotype" w:eastAsia="MS Gothic" w:hAnsi="Palatino Linotype" w:cstheme="majorBidi"/>
          <w:b/>
          <w:sz w:val="24"/>
          <w:szCs w:val="24"/>
          <w:lang w:val="es-ES_tradnl" w:eastAsia="es-ES"/>
        </w:rPr>
        <w:t>CUARTO</w:t>
      </w:r>
      <w:r w:rsidR="00792776" w:rsidRPr="003E585E">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3E585E">
        <w:rPr>
          <w:rFonts w:ascii="Palatino Linotype" w:eastAsia="MS Gothic" w:hAnsi="Palatino Linotype" w:cstheme="majorBidi"/>
          <w:b/>
          <w:sz w:val="24"/>
          <w:szCs w:val="24"/>
          <w:lang w:val="es-ES_tradnl" w:eastAsia="es-ES"/>
        </w:rPr>
        <w:t>revisión.</w:t>
      </w:r>
      <w:bookmarkEnd w:id="26"/>
    </w:p>
    <w:p w:rsidR="00B07E95" w:rsidRPr="003E585E" w:rsidRDefault="00B07E95" w:rsidP="00D95A22">
      <w:pPr>
        <w:keepNext/>
        <w:keepLines/>
        <w:spacing w:after="0" w:line="360" w:lineRule="auto"/>
        <w:outlineLvl w:val="0"/>
        <w:rPr>
          <w:rFonts w:ascii="Palatino Linotype" w:eastAsia="MS Mincho" w:hAnsi="Palatino Linotype" w:cs="Times New Roman"/>
          <w:b/>
          <w:sz w:val="24"/>
          <w:szCs w:val="24"/>
          <w:lang w:val="es-ES_tradnl" w:eastAsia="es-ES"/>
        </w:rPr>
      </w:pPr>
    </w:p>
    <w:p w:rsidR="00E204F9" w:rsidRPr="00E659ED" w:rsidRDefault="00CA10C1" w:rsidP="005E7BE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4B0C02">
        <w:rPr>
          <w:rFonts w:ascii="Palatino Linotype" w:hAnsi="Palatino Linotype" w:cs="Arial"/>
          <w:sz w:val="24"/>
          <w:szCs w:val="24"/>
        </w:rPr>
        <w:t xml:space="preserve">Derivado del Planteamiento de la Litis, </w:t>
      </w:r>
      <w:r w:rsidR="006B56C3" w:rsidRPr="004B0C02">
        <w:rPr>
          <w:rFonts w:ascii="Palatino Linotype" w:hAnsi="Palatino Linotype" w:cs="Arial"/>
          <w:sz w:val="24"/>
          <w:szCs w:val="24"/>
        </w:rPr>
        <w:t>se procede a analizar</w:t>
      </w:r>
      <w:r w:rsidRPr="004B0C02">
        <w:rPr>
          <w:rFonts w:ascii="Palatino Linotype" w:hAnsi="Palatino Linotype" w:cs="Arial"/>
          <w:sz w:val="24"/>
          <w:szCs w:val="24"/>
        </w:rPr>
        <w:t xml:space="preserve"> el contenido íntegro de las actuaciones que obra</w:t>
      </w:r>
      <w:r w:rsidR="006B56C3" w:rsidRPr="004B0C02">
        <w:rPr>
          <w:rFonts w:ascii="Palatino Linotype" w:hAnsi="Palatino Linotype" w:cs="Arial"/>
          <w:sz w:val="24"/>
          <w:szCs w:val="24"/>
        </w:rPr>
        <w:t xml:space="preserve">n en el expediente electrónico y con ello, este </w:t>
      </w:r>
      <w:r w:rsidRPr="004B0C02">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4B0C02">
        <w:rPr>
          <w:rFonts w:ascii="Palatino Linotype" w:hAnsi="Palatino Linotype" w:cs="Arial"/>
          <w:sz w:val="24"/>
          <w:szCs w:val="24"/>
        </w:rPr>
        <w:t xml:space="preserve">, de </w:t>
      </w:r>
      <w:r w:rsidRPr="004B0C02">
        <w:rPr>
          <w:rFonts w:ascii="Palatino Linotype" w:hAnsi="Palatino Linotype" w:cs="Arial"/>
          <w:sz w:val="24"/>
          <w:szCs w:val="24"/>
        </w:rPr>
        <w:t xml:space="preserve">acuerdo </w:t>
      </w:r>
      <w:r w:rsidR="006B56C3" w:rsidRPr="004B0C02">
        <w:rPr>
          <w:rFonts w:ascii="Palatino Linotype" w:hAnsi="Palatino Linotype" w:cs="Arial"/>
          <w:sz w:val="24"/>
          <w:szCs w:val="24"/>
        </w:rPr>
        <w:t>con</w:t>
      </w:r>
      <w:r w:rsidRPr="004B0C02">
        <w:rPr>
          <w:rFonts w:ascii="Palatino Linotype" w:hAnsi="Palatino Linotype" w:cs="Arial"/>
          <w:sz w:val="24"/>
          <w:szCs w:val="24"/>
        </w:rPr>
        <w:t xml:space="preserve"> lo establecido en el artículo 8 de la </w:t>
      </w:r>
      <w:r w:rsidRPr="004B0C02">
        <w:rPr>
          <w:rFonts w:ascii="Palatino Linotype" w:eastAsia="Calibri" w:hAnsi="Palatino Linotype" w:cs="Arial"/>
          <w:sz w:val="24"/>
          <w:szCs w:val="24"/>
          <w:lang w:val="es-ES"/>
        </w:rPr>
        <w:t>Ley de Transparencia y Acceso a la Información Pública del Estado de México y Municipios</w:t>
      </w:r>
      <w:r w:rsidRPr="004B0C02">
        <w:rPr>
          <w:rFonts w:ascii="Palatino Linotype" w:eastAsia="Times New Roman" w:hAnsi="Palatino Linotype" w:cs="Arial"/>
          <w:sz w:val="24"/>
          <w:szCs w:val="24"/>
          <w:lang w:val="es-ES" w:eastAsia="es-MX"/>
        </w:rPr>
        <w:t>.</w:t>
      </w:r>
    </w:p>
    <w:p w:rsidR="00E659ED" w:rsidRPr="005E7BEE" w:rsidRDefault="00E659ED" w:rsidP="00E659ED">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374179" w:rsidRPr="00E659ED" w:rsidRDefault="00374179" w:rsidP="00205BAD">
      <w:pPr>
        <w:pStyle w:val="Prrafodelista"/>
        <w:numPr>
          <w:ilvl w:val="0"/>
          <w:numId w:val="18"/>
        </w:numPr>
        <w:spacing w:after="0" w:line="360" w:lineRule="auto"/>
        <w:ind w:left="709" w:right="49"/>
        <w:jc w:val="both"/>
        <w:rPr>
          <w:rFonts w:ascii="Palatino Linotype" w:eastAsia="MS Mincho" w:hAnsi="Palatino Linotype" w:cs="Times New Roman"/>
          <w:b/>
          <w:sz w:val="24"/>
          <w:szCs w:val="24"/>
          <w:lang w:val="es-ES_tradnl" w:eastAsia="es-ES"/>
        </w:rPr>
      </w:pPr>
      <w:r w:rsidRPr="00E659ED">
        <w:rPr>
          <w:rFonts w:ascii="Palatino Linotype" w:eastAsia="MS Mincho" w:hAnsi="Palatino Linotype" w:cs="Times New Roman"/>
          <w:b/>
          <w:sz w:val="24"/>
          <w:szCs w:val="24"/>
          <w:lang w:val="es-ES_tradnl" w:eastAsia="es-ES"/>
        </w:rPr>
        <w:t xml:space="preserve">Fuente Obligacional. </w:t>
      </w:r>
    </w:p>
    <w:p w:rsidR="00374179" w:rsidRPr="00374179" w:rsidRDefault="00374179" w:rsidP="0099284A">
      <w:pPr>
        <w:spacing w:after="0" w:line="360" w:lineRule="auto"/>
        <w:rPr>
          <w:rFonts w:ascii="Palatino Linotype" w:eastAsia="MS Mincho" w:hAnsi="Palatino Linotype" w:cs="Times New Roman"/>
          <w:sz w:val="24"/>
          <w:szCs w:val="24"/>
          <w:lang w:val="es-ES_tradnl" w:eastAsia="es-ES"/>
        </w:rPr>
      </w:pPr>
    </w:p>
    <w:p w:rsidR="00374179" w:rsidRPr="00374179" w:rsidRDefault="00374179"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E585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w:t>
      </w:r>
      <w:r>
        <w:rPr>
          <w:rFonts w:ascii="Palatino Linotype" w:eastAsia="MS Mincho" w:hAnsi="Palatino Linotype" w:cstheme="majorBidi"/>
          <w:sz w:val="24"/>
          <w:szCs w:val="24"/>
          <w:lang w:val="es-ES_tradnl" w:eastAsia="es-ES"/>
        </w:rPr>
        <w:t xml:space="preserve">Particular del Estado de México. </w:t>
      </w:r>
    </w:p>
    <w:p w:rsidR="00374179" w:rsidRDefault="00374179" w:rsidP="00D95A22">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374179" w:rsidRDefault="00374179"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74179">
        <w:rPr>
          <w:rFonts w:ascii="Palatino Linotype" w:eastAsia="MS Mincho" w:hAnsi="Palatino Linotype" w:cs="Times New Roman"/>
          <w:sz w:val="24"/>
          <w:szCs w:val="24"/>
          <w:lang w:val="es-ES_tradnl" w:eastAsia="es-ES"/>
        </w:rPr>
        <w:lastRenderedPageBreak/>
        <w:t xml:space="preserve">El </w:t>
      </w:r>
      <w:r w:rsidR="00E659ED" w:rsidRPr="00E659ED">
        <w:rPr>
          <w:rFonts w:ascii="Palatino Linotype" w:eastAsia="MS Mincho" w:hAnsi="Palatino Linotype" w:cs="Times New Roman"/>
          <w:b/>
          <w:sz w:val="24"/>
          <w:szCs w:val="24"/>
          <w:lang w:val="es-ES_tradnl" w:eastAsia="es-ES"/>
        </w:rPr>
        <w:t>SUJETO OBLIGADO</w:t>
      </w:r>
      <w:r w:rsidR="00E659ED" w:rsidRPr="00374179">
        <w:rPr>
          <w:rFonts w:ascii="Palatino Linotype" w:eastAsia="MS Mincho" w:hAnsi="Palatino Linotype" w:cs="Times New Roman"/>
          <w:sz w:val="24"/>
          <w:szCs w:val="24"/>
          <w:lang w:val="es-ES_tradnl" w:eastAsia="es-ES"/>
        </w:rPr>
        <w:t xml:space="preserve"> </w:t>
      </w:r>
      <w:r w:rsidRPr="00374179">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374179">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374179">
        <w:rPr>
          <w:rFonts w:ascii="Palatino Linotype" w:eastAsia="MS Mincho" w:hAnsi="Palatino Linotype" w:cstheme="majorBidi"/>
          <w:b/>
          <w:sz w:val="24"/>
          <w:szCs w:val="24"/>
          <w:lang w:val="es-ES_tradnl" w:eastAsia="es-ES"/>
        </w:rPr>
        <w:t xml:space="preserve"> </w:t>
      </w:r>
      <w:r w:rsidRPr="00374179">
        <w:rPr>
          <w:rFonts w:ascii="Palatino Linotype" w:eastAsia="MS Mincho" w:hAnsi="Palatino Linotype" w:cstheme="majorBidi"/>
          <w:sz w:val="24"/>
          <w:szCs w:val="24"/>
          <w:lang w:val="es-ES_tradnl" w:eastAsia="es-ES"/>
        </w:rPr>
        <w:t xml:space="preserve">al señalar la obligación de </w:t>
      </w:r>
      <w:r w:rsidRPr="00B43D3A">
        <w:rPr>
          <w:rFonts w:ascii="Palatino Linotype" w:eastAsia="MS Mincho" w:hAnsi="Palatino Linotype" w:cstheme="majorBidi"/>
          <w:i/>
          <w:sz w:val="24"/>
          <w:szCs w:val="24"/>
          <w:lang w:val="es-ES_tradnl" w:eastAsia="es-ES"/>
        </w:rPr>
        <w:t xml:space="preserve">“promover, respetar, proteger y garantizar los derechos humanos”, </w:t>
      </w:r>
      <w:r w:rsidRPr="00374179">
        <w:rPr>
          <w:rFonts w:ascii="Palatino Linotype" w:eastAsia="MS Mincho" w:hAnsi="Palatino Linotype" w:cstheme="majorBidi"/>
          <w:sz w:val="24"/>
          <w:szCs w:val="24"/>
          <w:lang w:val="es-ES_tradnl" w:eastAsia="es-ES"/>
        </w:rPr>
        <w:t>entre los cuales se encuentra dicho derecho.</w:t>
      </w:r>
    </w:p>
    <w:p w:rsidR="00374179" w:rsidRPr="003E585E" w:rsidRDefault="00374179" w:rsidP="00D95A22">
      <w:pPr>
        <w:spacing w:after="0" w:line="360" w:lineRule="auto"/>
        <w:ind w:right="49"/>
        <w:contextualSpacing/>
        <w:jc w:val="both"/>
        <w:rPr>
          <w:rFonts w:ascii="Palatino Linotype" w:eastAsia="MS Mincho" w:hAnsi="Palatino Linotype" w:cstheme="majorBidi"/>
          <w:i/>
          <w:sz w:val="24"/>
          <w:szCs w:val="24"/>
          <w:lang w:eastAsia="es-ES"/>
        </w:rPr>
      </w:pPr>
    </w:p>
    <w:p w:rsidR="00B43D3A" w:rsidRDefault="00B43D3A" w:rsidP="00D95A2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3E585E">
        <w:rPr>
          <w:rFonts w:ascii="Palatino Linotype" w:eastAsia="MS Mincho" w:hAnsi="Palatino Linotype" w:cstheme="majorBidi"/>
          <w:sz w:val="24"/>
          <w:szCs w:val="24"/>
          <w:lang w:eastAsia="es-ES"/>
        </w:rPr>
        <w:t xml:space="preserve">Por cuanto hace al contenido del artículo 6 segundo párrafo, apartado A. fracción I </w:t>
      </w:r>
      <w:r w:rsidRPr="003E585E">
        <w:rPr>
          <w:rFonts w:ascii="Palatino Linotype" w:eastAsia="MS Mincho" w:hAnsi="Palatino Linotype" w:cstheme="majorBidi"/>
          <w:sz w:val="24"/>
          <w:szCs w:val="24"/>
          <w:lang w:val="es-ES" w:eastAsia="es-ES"/>
        </w:rPr>
        <w:t xml:space="preserve">de la Constitución Política de los Estados Unidos Mexicanos el cual establece </w:t>
      </w:r>
      <w:r w:rsidRPr="003E585E">
        <w:rPr>
          <w:rFonts w:ascii="Palatino Linotype" w:eastAsia="MS Mincho" w:hAnsi="Palatino Linotype" w:cstheme="majorBidi"/>
          <w:sz w:val="24"/>
          <w:szCs w:val="24"/>
          <w:lang w:eastAsia="es-ES"/>
        </w:rPr>
        <w:t xml:space="preserve">que </w:t>
      </w:r>
      <w:r w:rsidRPr="00B43D3A">
        <w:rPr>
          <w:rFonts w:ascii="Palatino Linotype" w:eastAsia="MS Mincho" w:hAnsi="Palatino Linotype" w:cstheme="majorBidi"/>
          <w:i/>
          <w:sz w:val="24"/>
          <w:szCs w:val="24"/>
          <w:lang w:val="es-ES" w:eastAsia="es-ES"/>
        </w:rPr>
        <w:t>“Toda la información en posesión de cualquier autoridad</w:t>
      </w:r>
      <w:r w:rsidR="00A474D9">
        <w:rPr>
          <w:rFonts w:ascii="Palatino Linotype" w:eastAsia="MS Mincho" w:hAnsi="Palatino Linotype" w:cstheme="majorBidi"/>
          <w:i/>
          <w:sz w:val="24"/>
          <w:szCs w:val="24"/>
          <w:lang w:val="es-ES" w:eastAsia="es-ES"/>
        </w:rPr>
        <w:t xml:space="preserve"> (…) </w:t>
      </w:r>
      <w:r w:rsidRPr="00B43D3A">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43D3A">
        <w:rPr>
          <w:rFonts w:ascii="Palatino Linotype" w:eastAsia="MS Mincho" w:hAnsi="Palatino Linotype" w:cstheme="majorBidi"/>
          <w:b/>
          <w:i/>
          <w:sz w:val="24"/>
          <w:szCs w:val="24"/>
          <w:lang w:val="es-ES" w:eastAsia="es-ES"/>
        </w:rPr>
        <w:t>es pública</w:t>
      </w:r>
      <w:r w:rsidRPr="00B43D3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B43D3A" w:rsidRDefault="00B43D3A" w:rsidP="00D95A22">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Default="00A474D9" w:rsidP="00D95A2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3E585E">
        <w:rPr>
          <w:rFonts w:ascii="Palatino Linotype" w:eastAsia="MS Mincho" w:hAnsi="Palatino Linotype" w:cstheme="majorBidi"/>
          <w:sz w:val="24"/>
          <w:szCs w:val="24"/>
          <w:lang w:val="es-ES_tradnl" w:eastAsia="es-ES"/>
        </w:rPr>
        <w:t xml:space="preserve">Luego entonces, el acceso a la información pública es el derecho humano </w:t>
      </w:r>
      <w:r>
        <w:rPr>
          <w:rFonts w:ascii="Palatino Linotype" w:eastAsia="MS Mincho" w:hAnsi="Palatino Linotype" w:cstheme="majorBidi"/>
          <w:sz w:val="24"/>
          <w:szCs w:val="24"/>
          <w:lang w:val="es-ES_tradnl" w:eastAsia="es-ES"/>
        </w:rPr>
        <w:t xml:space="preserve">por medio del cual se puede solicitar </w:t>
      </w:r>
      <w:r w:rsidRPr="003E585E">
        <w:rPr>
          <w:rFonts w:ascii="Palatino Linotype" w:eastAsia="MS Mincho" w:hAnsi="Palatino Linotype" w:cstheme="majorBidi"/>
          <w:sz w:val="24"/>
          <w:szCs w:val="24"/>
          <w:lang w:val="es-ES_tradnl" w:eastAsia="es-ES"/>
        </w:rPr>
        <w:t xml:space="preserve">información pública que </w:t>
      </w:r>
      <w:r w:rsidRPr="0026441B">
        <w:rPr>
          <w:rFonts w:ascii="Palatino Linotype" w:eastAsia="MS Mincho" w:hAnsi="Palatino Linotype" w:cstheme="majorBidi"/>
          <w:i/>
          <w:sz w:val="24"/>
          <w:szCs w:val="24"/>
          <w:lang w:val="es-ES_tradnl" w:eastAsia="es-ES"/>
        </w:rPr>
        <w:t>generen, administren o posean las autoridades</w:t>
      </w:r>
      <w:r>
        <w:rPr>
          <w:rFonts w:ascii="Palatino Linotype" w:eastAsia="MS Mincho" w:hAnsi="Palatino Linotype" w:cstheme="majorBidi"/>
          <w:sz w:val="24"/>
          <w:szCs w:val="24"/>
          <w:lang w:val="es-ES_tradnl" w:eastAsia="es-ES"/>
        </w:rPr>
        <w:t xml:space="preserve">, </w:t>
      </w:r>
      <w:r w:rsidRPr="003E585E">
        <w:rPr>
          <w:rFonts w:ascii="Palatino Linotype" w:eastAsia="MS Mincho" w:hAnsi="Palatino Linotype" w:cstheme="majorBidi"/>
          <w:sz w:val="24"/>
          <w:szCs w:val="24"/>
          <w:lang w:val="es-ES_tradnl" w:eastAsia="es-ES"/>
        </w:rPr>
        <w:t>quienes están obligados a documentar todo acto que derive sus facultades, atribuciones y competencias, siempre prevaleciendo el principio de máxima publicidad.</w:t>
      </w:r>
    </w:p>
    <w:p w:rsidR="00A474D9" w:rsidRPr="00A474D9" w:rsidRDefault="00A474D9" w:rsidP="00D95A22">
      <w:pPr>
        <w:spacing w:after="0" w:line="360" w:lineRule="auto"/>
        <w:ind w:right="49"/>
        <w:contextualSpacing/>
        <w:jc w:val="both"/>
        <w:rPr>
          <w:rFonts w:ascii="Palatino Linotype" w:eastAsia="MS Mincho" w:hAnsi="Palatino Linotype" w:cstheme="majorBidi"/>
          <w:i/>
          <w:sz w:val="24"/>
          <w:szCs w:val="24"/>
          <w:lang w:eastAsia="es-ES"/>
        </w:rPr>
      </w:pPr>
    </w:p>
    <w:p w:rsidR="00374179" w:rsidRPr="00A474D9" w:rsidRDefault="00A474D9"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En términos generales</w:t>
      </w:r>
      <w:r w:rsidRPr="003E585E">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la Ley de Transparencia</w:t>
      </w:r>
      <w:r w:rsidRPr="003E585E">
        <w:rPr>
          <w:rFonts w:ascii="Palatino Linotype" w:eastAsia="MS Mincho" w:hAnsi="Palatino Linotype" w:cs="Times New Roman"/>
          <w:sz w:val="24"/>
          <w:szCs w:val="24"/>
          <w:lang w:val="es-ES_tradnl" w:eastAsia="es-ES"/>
        </w:rPr>
        <w:t xml:space="preserve"> establece </w:t>
      </w:r>
      <w:r>
        <w:rPr>
          <w:rFonts w:ascii="Palatino Linotype" w:eastAsia="MS Mincho" w:hAnsi="Palatino Linotype" w:cs="Times New Roman"/>
          <w:sz w:val="24"/>
          <w:szCs w:val="24"/>
          <w:lang w:val="es-ES_tradnl" w:eastAsia="es-ES"/>
        </w:rPr>
        <w:t xml:space="preserve">como uno de sus objetivos; garantizar a toda persona el Derecho de Acceso a la Información Pública, mediante procedimientos sencillos, expeditos, oportunos y gratuitos, con la finalidad de mejorar los </w:t>
      </w:r>
      <w:r w:rsidRPr="00565A3D">
        <w:rPr>
          <w:rFonts w:ascii="Palatino Linotype" w:eastAsia="MS Mincho" w:hAnsi="Palatino Linotype" w:cs="Times New Roman"/>
          <w:sz w:val="24"/>
          <w:szCs w:val="24"/>
          <w:lang w:val="es-ES_tradnl" w:eastAsia="es-ES"/>
        </w:rPr>
        <w:t xml:space="preserve">mecanismos que </w:t>
      </w:r>
      <w:r>
        <w:rPr>
          <w:rFonts w:ascii="Palatino Linotype" w:eastAsia="MS Mincho" w:hAnsi="Palatino Linotype" w:cs="Times New Roman"/>
          <w:sz w:val="24"/>
          <w:szCs w:val="24"/>
          <w:lang w:val="es-ES_tradnl" w:eastAsia="es-ES"/>
        </w:rPr>
        <w:t>trasparenten</w:t>
      </w:r>
      <w:r w:rsidRPr="00565A3D">
        <w:rPr>
          <w:rFonts w:ascii="Palatino Linotype" w:eastAsia="MS Mincho" w:hAnsi="Palatino Linotype" w:cs="Times New Roman"/>
          <w:sz w:val="24"/>
          <w:szCs w:val="24"/>
          <w:lang w:val="es-ES_tradnl" w:eastAsia="es-ES"/>
        </w:rPr>
        <w:t xml:space="preserve"> la gestión pública</w:t>
      </w:r>
      <w:r>
        <w:rPr>
          <w:rFonts w:ascii="Palatino Linotype" w:eastAsia="MS Mincho" w:hAnsi="Palatino Linotype" w:cs="Times New Roman"/>
          <w:sz w:val="24"/>
          <w:szCs w:val="24"/>
          <w:lang w:val="es-ES_tradnl" w:eastAsia="es-ES"/>
        </w:rPr>
        <w:t>, y</w:t>
      </w:r>
      <w:r w:rsidRPr="00565A3D">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promover la mejor toma de decisiones por parte de las autoridades, siendo la</w:t>
      </w:r>
      <w:r w:rsidRPr="00565A3D">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difusión de la información</w:t>
      </w:r>
      <w:r w:rsidRPr="00565A3D">
        <w:rPr>
          <w:rFonts w:ascii="Palatino Linotype" w:eastAsia="MS Mincho" w:hAnsi="Palatino Linotype" w:cs="Times New Roman"/>
          <w:sz w:val="24"/>
          <w:szCs w:val="24"/>
          <w:lang w:val="es-ES_tradnl" w:eastAsia="es-ES"/>
        </w:rPr>
        <w:t xml:space="preserve"> en</w:t>
      </w:r>
      <w:r>
        <w:rPr>
          <w:rFonts w:ascii="Palatino Linotype" w:eastAsia="MS Mincho" w:hAnsi="Palatino Linotype" w:cs="Times New Roman"/>
          <w:sz w:val="24"/>
          <w:szCs w:val="24"/>
          <w:lang w:val="es-ES_tradnl" w:eastAsia="es-ES"/>
        </w:rPr>
        <w:t xml:space="preserve"> poder de los </w:t>
      </w:r>
      <w:r w:rsidR="00FD701E">
        <w:rPr>
          <w:rFonts w:ascii="Palatino Linotype" w:eastAsia="MS Mincho" w:hAnsi="Palatino Linotype" w:cs="Times New Roman"/>
          <w:sz w:val="24"/>
          <w:szCs w:val="24"/>
          <w:lang w:val="es-ES_tradnl" w:eastAsia="es-ES"/>
        </w:rPr>
        <w:t xml:space="preserve">sujetos obligados </w:t>
      </w:r>
      <w:r>
        <w:rPr>
          <w:rFonts w:ascii="Palatino Linotype" w:eastAsia="MS Mincho" w:hAnsi="Palatino Linotype" w:cs="Times New Roman"/>
          <w:sz w:val="24"/>
          <w:szCs w:val="24"/>
          <w:lang w:val="es-ES_tradnl" w:eastAsia="es-ES"/>
        </w:rPr>
        <w:t xml:space="preserve">la que contribuirá al logro de éste fin. </w:t>
      </w:r>
    </w:p>
    <w:p w:rsidR="00374179" w:rsidRDefault="00374179" w:rsidP="00D95A22">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32356A" w:rsidRDefault="00A474D9" w:rsidP="00D95A2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A474D9">
        <w:rPr>
          <w:rFonts w:ascii="Palatino Linotype" w:eastAsia="MS Mincho" w:hAnsi="Palatino Linotype" w:cs="Times New Roman"/>
          <w:sz w:val="24"/>
          <w:szCs w:val="24"/>
          <w:lang w:val="es-ES_tradnl" w:eastAsia="es-ES"/>
        </w:rPr>
        <w:t xml:space="preserve">De acuerdo con </w:t>
      </w:r>
      <w:r>
        <w:rPr>
          <w:rFonts w:ascii="Palatino Linotype" w:eastAsia="MS Mincho" w:hAnsi="Palatino Linotype" w:cs="Times New Roman"/>
          <w:sz w:val="24"/>
          <w:szCs w:val="24"/>
          <w:lang w:val="es-ES_tradnl" w:eastAsia="es-ES"/>
        </w:rPr>
        <w:t>e</w:t>
      </w:r>
      <w:r w:rsidR="00565A3D">
        <w:rPr>
          <w:rFonts w:ascii="Palatino Linotype" w:eastAsia="MS Mincho" w:hAnsi="Palatino Linotype" w:cs="Times New Roman"/>
          <w:sz w:val="24"/>
          <w:szCs w:val="24"/>
          <w:lang w:val="es-ES_tradnl" w:eastAsia="es-ES"/>
        </w:rPr>
        <w:t>l</w:t>
      </w:r>
      <w:r w:rsidR="00C16223" w:rsidRPr="003E585E">
        <w:rPr>
          <w:rFonts w:ascii="Palatino Linotype" w:eastAsia="MS Mincho" w:hAnsi="Palatino Linotype" w:cs="Times New Roman"/>
          <w:sz w:val="24"/>
          <w:szCs w:val="24"/>
          <w:lang w:val="es-ES_tradnl" w:eastAsia="es-ES"/>
        </w:rPr>
        <w:t xml:space="preserve"> a</w:t>
      </w:r>
      <w:r w:rsidR="00792776" w:rsidRPr="003E585E">
        <w:rPr>
          <w:rFonts w:ascii="Palatino Linotype" w:eastAsia="MS Mincho" w:hAnsi="Palatino Linotype" w:cs="Times New Roman"/>
          <w:sz w:val="24"/>
          <w:szCs w:val="24"/>
          <w:lang w:val="es-ES_tradnl" w:eastAsia="es-ES"/>
        </w:rPr>
        <w:t xml:space="preserve">rtículo </w:t>
      </w:r>
      <w:r>
        <w:rPr>
          <w:rFonts w:ascii="Palatino Linotype" w:eastAsia="MS Mincho" w:hAnsi="Palatino Linotype" w:cs="Times New Roman"/>
          <w:sz w:val="24"/>
          <w:szCs w:val="24"/>
          <w:lang w:val="es-ES_tradnl" w:eastAsia="es-ES"/>
        </w:rPr>
        <w:t xml:space="preserve">4 de la Ley en la materia, señala que </w:t>
      </w:r>
      <w:r w:rsidRPr="0032356A">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A474D9" w:rsidRDefault="00A474D9" w:rsidP="00D95A22">
      <w:pPr>
        <w:spacing w:line="360" w:lineRule="auto"/>
        <w:rPr>
          <w:rFonts w:ascii="Palatino Linotype" w:eastAsia="MS Mincho" w:hAnsi="Palatino Linotype" w:cs="Times New Roman"/>
          <w:sz w:val="24"/>
          <w:szCs w:val="24"/>
          <w:lang w:val="es-ES_tradnl" w:eastAsia="es-ES"/>
        </w:rPr>
      </w:pPr>
    </w:p>
    <w:p w:rsidR="00A474D9" w:rsidRDefault="00A474D9"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Asimismo, en el artículo </w:t>
      </w:r>
      <w:r w:rsidR="00792776" w:rsidRPr="003E585E">
        <w:rPr>
          <w:rFonts w:ascii="Palatino Linotype" w:eastAsia="MS Mincho" w:hAnsi="Palatino Linotype" w:cs="Times New Roman"/>
          <w:sz w:val="24"/>
          <w:szCs w:val="24"/>
          <w:lang w:val="es-ES_tradnl" w:eastAsia="es-ES"/>
        </w:rPr>
        <w:t xml:space="preserve">18 de la </w:t>
      </w:r>
      <w:r w:rsidR="00072EFA" w:rsidRPr="003E585E">
        <w:rPr>
          <w:rFonts w:ascii="Palatino Linotype" w:eastAsia="MS Mincho" w:hAnsi="Palatino Linotype" w:cs="Times New Roman"/>
          <w:sz w:val="24"/>
          <w:szCs w:val="24"/>
          <w:lang w:val="es-ES_tradnl" w:eastAsia="es-ES"/>
        </w:rPr>
        <w:t xml:space="preserve">Ley </w:t>
      </w:r>
      <w:r>
        <w:rPr>
          <w:rFonts w:ascii="Palatino Linotype" w:eastAsia="MS Mincho" w:hAnsi="Palatino Linotype" w:cs="Times New Roman"/>
          <w:sz w:val="24"/>
          <w:szCs w:val="24"/>
          <w:lang w:val="es-ES_tradnl" w:eastAsia="es-ES"/>
        </w:rPr>
        <w:t xml:space="preserve">en comento, </w:t>
      </w:r>
      <w:r w:rsidR="00792776" w:rsidRPr="003E585E">
        <w:rPr>
          <w:rFonts w:ascii="Palatino Linotype" w:eastAsia="MS Mincho" w:hAnsi="Palatino Linotype" w:cs="Times New Roman"/>
          <w:sz w:val="24"/>
          <w:szCs w:val="24"/>
          <w:lang w:val="es-ES_tradnl" w:eastAsia="es-ES"/>
        </w:rPr>
        <w:t>los Sujetos Obligados cuenta</w:t>
      </w:r>
      <w:r w:rsidR="00565A3D">
        <w:rPr>
          <w:rFonts w:ascii="Palatino Linotype" w:eastAsia="MS Mincho" w:hAnsi="Palatino Linotype" w:cs="Times New Roman"/>
          <w:sz w:val="24"/>
          <w:szCs w:val="24"/>
          <w:lang w:val="es-ES_tradnl" w:eastAsia="es-ES"/>
        </w:rPr>
        <w:t>n</w:t>
      </w:r>
      <w:r w:rsidR="00792776" w:rsidRPr="003E585E">
        <w:rPr>
          <w:rFonts w:ascii="Palatino Linotype" w:eastAsia="MS Mincho" w:hAnsi="Palatino Linotype" w:cs="Times New Roman"/>
          <w:sz w:val="24"/>
          <w:szCs w:val="24"/>
          <w:lang w:val="es-ES_tradnl" w:eastAsia="es-ES"/>
        </w:rPr>
        <w:t xml:space="preserve"> con la obligación de documentar todos los actos que derive</w:t>
      </w:r>
      <w:r w:rsidR="00565A3D">
        <w:rPr>
          <w:rFonts w:ascii="Palatino Linotype" w:eastAsia="MS Mincho" w:hAnsi="Palatino Linotype" w:cs="Times New Roman"/>
          <w:sz w:val="24"/>
          <w:szCs w:val="24"/>
          <w:lang w:val="es-ES_tradnl" w:eastAsia="es-ES"/>
        </w:rPr>
        <w:t>n</w:t>
      </w:r>
      <w:r w:rsidR="00792776" w:rsidRPr="003E585E">
        <w:rPr>
          <w:rFonts w:ascii="Palatino Linotype" w:eastAsia="MS Mincho" w:hAnsi="Palatino Linotype" w:cs="Times New Roman"/>
          <w:sz w:val="24"/>
          <w:szCs w:val="24"/>
          <w:lang w:val="es-ES_tradnl" w:eastAsia="es-ES"/>
        </w:rPr>
        <w:t xml:space="preserve"> de sus atribuciones, funciones y competencia</w:t>
      </w:r>
      <w:r w:rsidR="0024202C">
        <w:rPr>
          <w:rFonts w:ascii="Palatino Linotype" w:eastAsia="MS Mincho" w:hAnsi="Palatino Linotype" w:cs="Times New Roman"/>
          <w:sz w:val="24"/>
          <w:szCs w:val="24"/>
          <w:lang w:val="es-ES_tradnl" w:eastAsia="es-ES"/>
        </w:rPr>
        <w:t xml:space="preserve">, </w:t>
      </w:r>
      <w:r w:rsidR="00792776" w:rsidRPr="003E585E">
        <w:rPr>
          <w:rFonts w:ascii="Palatino Linotype" w:eastAsia="MS Mincho" w:hAnsi="Palatino Linotype" w:cs="Times New Roman"/>
          <w:sz w:val="24"/>
          <w:szCs w:val="24"/>
          <w:lang w:val="es-ES_tradnl" w:eastAsia="es-ES"/>
        </w:rPr>
        <w:t>desde su origen</w:t>
      </w:r>
      <w:r w:rsidR="0024202C">
        <w:rPr>
          <w:rFonts w:ascii="Palatino Linotype" w:eastAsia="MS Mincho" w:hAnsi="Palatino Linotype" w:cs="Times New Roman"/>
          <w:sz w:val="24"/>
          <w:szCs w:val="24"/>
          <w:lang w:val="es-ES_tradnl" w:eastAsia="es-ES"/>
        </w:rPr>
        <w:t>,</w:t>
      </w:r>
      <w:r w:rsidR="00792776" w:rsidRPr="003E585E">
        <w:rPr>
          <w:rFonts w:ascii="Palatino Linotype" w:eastAsia="MS Mincho" w:hAnsi="Palatino Linotype" w:cs="Times New Roman"/>
          <w:sz w:val="24"/>
          <w:szCs w:val="24"/>
          <w:lang w:val="es-ES_tradnl" w:eastAsia="es-ES"/>
        </w:rPr>
        <w:t xml:space="preserve"> la eventual</w:t>
      </w:r>
      <w:r w:rsidR="0024202C">
        <w:rPr>
          <w:rFonts w:ascii="Palatino Linotype" w:eastAsia="MS Mincho" w:hAnsi="Palatino Linotype" w:cs="Times New Roman"/>
          <w:sz w:val="24"/>
          <w:szCs w:val="24"/>
          <w:lang w:val="es-ES_tradnl" w:eastAsia="es-ES"/>
        </w:rPr>
        <w:t xml:space="preserve"> publicidad</w:t>
      </w:r>
      <w:r w:rsidR="00792776" w:rsidRPr="003E585E">
        <w:rPr>
          <w:rFonts w:ascii="Palatino Linotype" w:eastAsia="MS Mincho" w:hAnsi="Palatino Linotype" w:cs="Times New Roman"/>
          <w:sz w:val="24"/>
          <w:szCs w:val="24"/>
          <w:lang w:val="es-ES_tradnl" w:eastAsia="es-ES"/>
        </w:rPr>
        <w:t xml:space="preserve"> y reutilización de </w:t>
      </w:r>
      <w:r w:rsidR="0024202C">
        <w:rPr>
          <w:rFonts w:ascii="Palatino Linotype" w:eastAsia="MS Mincho" w:hAnsi="Palatino Linotype" w:cs="Times New Roman"/>
          <w:sz w:val="24"/>
          <w:szCs w:val="24"/>
          <w:lang w:val="es-ES_tradnl" w:eastAsia="es-ES"/>
        </w:rPr>
        <w:t xml:space="preserve">la información que generen. </w:t>
      </w:r>
    </w:p>
    <w:p w:rsidR="00A474D9" w:rsidRDefault="00A474D9" w:rsidP="00D95A22">
      <w:pPr>
        <w:pStyle w:val="Prrafodelista"/>
        <w:spacing w:line="360" w:lineRule="auto"/>
        <w:rPr>
          <w:rFonts w:ascii="Palatino Linotype" w:eastAsia="MS Mincho" w:hAnsi="Palatino Linotype" w:cs="Times New Roman"/>
          <w:sz w:val="24"/>
          <w:szCs w:val="24"/>
          <w:lang w:val="es-ES_tradnl" w:eastAsia="es-ES"/>
        </w:rPr>
      </w:pPr>
    </w:p>
    <w:p w:rsidR="00586A12" w:rsidRDefault="00A474D9"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Por lo que</w:t>
      </w:r>
      <w:r w:rsidR="0024202C">
        <w:rPr>
          <w:rFonts w:ascii="Palatino Linotype" w:eastAsia="MS Mincho" w:hAnsi="Palatino Linotype" w:cs="Times New Roman"/>
          <w:sz w:val="24"/>
          <w:szCs w:val="24"/>
          <w:lang w:val="es-ES_tradnl" w:eastAsia="es-ES"/>
        </w:rPr>
        <w:t>,</w:t>
      </w:r>
      <w:r w:rsidR="00792776" w:rsidRPr="003E585E">
        <w:rPr>
          <w:rFonts w:ascii="Palatino Linotype" w:eastAsia="MS Mincho" w:hAnsi="Palatino Linotype" w:cs="Times New Roman"/>
          <w:sz w:val="24"/>
          <w:szCs w:val="24"/>
          <w:lang w:val="es-ES_tradnl" w:eastAsia="es-ES"/>
        </w:rPr>
        <w:t xml:space="preserve"> toda la inf</w:t>
      </w:r>
      <w:r w:rsidR="0024202C">
        <w:rPr>
          <w:rFonts w:ascii="Palatino Linotype" w:eastAsia="MS Mincho" w:hAnsi="Palatino Linotype" w:cs="Times New Roman"/>
          <w:sz w:val="24"/>
          <w:szCs w:val="24"/>
          <w:lang w:val="es-ES_tradnl" w:eastAsia="es-ES"/>
        </w:rPr>
        <w:t>ormación que sea generada, poseída y administrada por</w:t>
      </w:r>
      <w:r w:rsidR="00E659ED" w:rsidRPr="00E659ED">
        <w:rPr>
          <w:rFonts w:ascii="Palatino Linotype" w:eastAsia="MS Mincho" w:hAnsi="Palatino Linotype" w:cs="Times New Roman"/>
          <w:sz w:val="24"/>
          <w:szCs w:val="24"/>
          <w:lang w:val="es-ES_tradnl" w:eastAsia="es-ES"/>
        </w:rPr>
        <w:t xml:space="preserve"> el</w:t>
      </w:r>
      <w:r w:rsidR="00E659ED" w:rsidRPr="00E659ED">
        <w:rPr>
          <w:rFonts w:ascii="Palatino Linotype" w:eastAsia="MS Mincho" w:hAnsi="Palatino Linotype" w:cs="Times New Roman"/>
          <w:b/>
          <w:sz w:val="24"/>
          <w:szCs w:val="24"/>
          <w:lang w:val="es-ES_tradnl" w:eastAsia="es-ES"/>
        </w:rPr>
        <w:t xml:space="preserve"> SUJETO OBLIGADO,</w:t>
      </w:r>
      <w:r w:rsidR="00E659ED" w:rsidRPr="003E585E">
        <w:rPr>
          <w:rFonts w:ascii="Palatino Linotype" w:eastAsia="MS Mincho" w:hAnsi="Palatino Linotype" w:cs="Times New Roman"/>
          <w:sz w:val="24"/>
          <w:szCs w:val="24"/>
          <w:lang w:val="es-ES_tradnl" w:eastAsia="es-ES"/>
        </w:rPr>
        <w:t xml:space="preserve"> </w:t>
      </w:r>
      <w:r w:rsidR="00792776" w:rsidRPr="003E585E">
        <w:rPr>
          <w:rFonts w:ascii="Palatino Linotype" w:eastAsia="MS Mincho" w:hAnsi="Palatino Linotype" w:cs="Times New Roman"/>
          <w:sz w:val="24"/>
          <w:szCs w:val="24"/>
          <w:lang w:val="es-ES_tradnl" w:eastAsia="es-ES"/>
        </w:rPr>
        <w:t xml:space="preserve">es pública y accesible de manera permanente a </w:t>
      </w:r>
      <w:r w:rsidR="00792776" w:rsidRPr="003E585E">
        <w:rPr>
          <w:rFonts w:ascii="Palatino Linotype" w:eastAsia="MS Mincho" w:hAnsi="Palatino Linotype" w:cs="Times New Roman"/>
          <w:sz w:val="24"/>
          <w:szCs w:val="24"/>
          <w:lang w:val="es-ES_tradnl" w:eastAsia="es-ES"/>
        </w:rPr>
        <w:lastRenderedPageBreak/>
        <w:t xml:space="preserve">cualquier persona, privilegiando </w:t>
      </w:r>
      <w:r w:rsidR="0024202C">
        <w:rPr>
          <w:rFonts w:ascii="Palatino Linotype" w:eastAsia="MS Mincho" w:hAnsi="Palatino Linotype" w:cs="Times New Roman"/>
          <w:sz w:val="24"/>
          <w:szCs w:val="24"/>
          <w:lang w:val="es-ES_tradnl" w:eastAsia="es-ES"/>
        </w:rPr>
        <w:t xml:space="preserve">en todo momento </w:t>
      </w:r>
      <w:r w:rsidR="00792776" w:rsidRPr="003E585E">
        <w:rPr>
          <w:rFonts w:ascii="Palatino Linotype" w:eastAsia="MS Mincho" w:hAnsi="Palatino Linotype" w:cs="Times New Roman"/>
          <w:sz w:val="24"/>
          <w:szCs w:val="24"/>
          <w:lang w:val="es-ES_tradnl" w:eastAsia="es-ES"/>
        </w:rPr>
        <w:t xml:space="preserve">el principio de </w:t>
      </w:r>
      <w:r w:rsidR="0024202C">
        <w:rPr>
          <w:rFonts w:ascii="Palatino Linotype" w:eastAsia="MS Mincho" w:hAnsi="Palatino Linotype" w:cs="Times New Roman"/>
          <w:sz w:val="24"/>
          <w:szCs w:val="24"/>
          <w:lang w:val="es-ES_tradnl" w:eastAsia="es-ES"/>
        </w:rPr>
        <w:t>“</w:t>
      </w:r>
      <w:r w:rsidR="00792776" w:rsidRPr="003E585E">
        <w:rPr>
          <w:rFonts w:ascii="Palatino Linotype" w:eastAsia="MS Mincho" w:hAnsi="Palatino Linotype" w:cs="Times New Roman"/>
          <w:sz w:val="24"/>
          <w:szCs w:val="24"/>
          <w:lang w:val="es-ES_tradnl" w:eastAsia="es-ES"/>
        </w:rPr>
        <w:t>máxima publicidad</w:t>
      </w:r>
      <w:r w:rsidR="0024202C">
        <w:rPr>
          <w:rFonts w:ascii="Palatino Linotype" w:eastAsia="MS Mincho" w:hAnsi="Palatino Linotype" w:cs="Times New Roman"/>
          <w:sz w:val="24"/>
          <w:szCs w:val="24"/>
          <w:lang w:val="es-ES_tradnl" w:eastAsia="es-ES"/>
        </w:rPr>
        <w:t>”</w:t>
      </w:r>
      <w:r w:rsidR="00792776" w:rsidRPr="003E585E">
        <w:rPr>
          <w:rFonts w:ascii="Palatino Linotype" w:eastAsia="MS Mincho" w:hAnsi="Palatino Linotype" w:cs="Times New Roman"/>
          <w:sz w:val="24"/>
          <w:szCs w:val="24"/>
          <w:lang w:val="es-ES_tradnl" w:eastAsia="es-ES"/>
        </w:rPr>
        <w:t xml:space="preserve"> de la misma</w:t>
      </w:r>
      <w:r w:rsidR="0024202C">
        <w:rPr>
          <w:rFonts w:ascii="Palatino Linotype" w:eastAsia="MS Mincho" w:hAnsi="Palatino Linotype" w:cs="Times New Roman"/>
          <w:sz w:val="24"/>
          <w:szCs w:val="24"/>
          <w:lang w:val="es-ES_tradnl" w:eastAsia="es-ES"/>
        </w:rPr>
        <w:t xml:space="preserve">. </w:t>
      </w:r>
    </w:p>
    <w:p w:rsidR="00586A12" w:rsidRDefault="00586A12" w:rsidP="00D95A22">
      <w:pPr>
        <w:pStyle w:val="Prrafodelista"/>
        <w:spacing w:line="360" w:lineRule="auto"/>
        <w:ind w:left="0"/>
        <w:rPr>
          <w:rFonts w:ascii="Palatino Linotype" w:eastAsia="MS Mincho" w:hAnsi="Palatino Linotype" w:cs="Times New Roman"/>
          <w:sz w:val="24"/>
          <w:szCs w:val="24"/>
          <w:lang w:val="es-ES_tradnl" w:eastAsia="es-ES"/>
        </w:rPr>
      </w:pPr>
    </w:p>
    <w:p w:rsidR="00792776" w:rsidRDefault="0024202C"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86A12">
        <w:rPr>
          <w:rFonts w:ascii="Palatino Linotype" w:eastAsia="MS Mincho" w:hAnsi="Palatino Linotype" w:cs="Times New Roman"/>
          <w:sz w:val="24"/>
          <w:szCs w:val="24"/>
          <w:lang w:val="es-ES_tradnl" w:eastAsia="es-ES"/>
        </w:rPr>
        <w:t>Al tenor de lo anterior, la información</w:t>
      </w:r>
      <w:r w:rsidR="00792776" w:rsidRPr="00586A12">
        <w:rPr>
          <w:rFonts w:ascii="Palatino Linotype" w:eastAsia="MS Mincho" w:hAnsi="Palatino Linotype" w:cs="Times New Roman"/>
          <w:sz w:val="24"/>
          <w:szCs w:val="24"/>
          <w:lang w:val="es-ES_tradnl" w:eastAsia="es-ES"/>
        </w:rPr>
        <w:t xml:space="preserve"> debe ser proporcionada</w:t>
      </w:r>
      <w:r w:rsidRPr="00586A12">
        <w:rPr>
          <w:rFonts w:ascii="Palatino Linotype" w:eastAsia="MS Mincho" w:hAnsi="Palatino Linotype" w:cs="Times New Roman"/>
          <w:sz w:val="24"/>
          <w:szCs w:val="24"/>
          <w:lang w:val="es-ES_tradnl" w:eastAsia="es-ES"/>
        </w:rPr>
        <w:t>,</w:t>
      </w:r>
      <w:r w:rsidR="00792776" w:rsidRPr="00586A12">
        <w:rPr>
          <w:rFonts w:ascii="Palatino Linotype" w:eastAsia="MS Mincho" w:hAnsi="Palatino Linotype" w:cs="Times New Roman"/>
          <w:sz w:val="24"/>
          <w:szCs w:val="24"/>
          <w:lang w:val="es-ES_tradnl" w:eastAsia="es-ES"/>
        </w:rPr>
        <w:t xml:space="preserve"> siempre y c</w:t>
      </w:r>
      <w:r w:rsidR="006B56C3">
        <w:rPr>
          <w:rFonts w:ascii="Palatino Linotype" w:eastAsia="MS Mincho" w:hAnsi="Palatino Linotype" w:cs="Times New Roman"/>
          <w:sz w:val="24"/>
          <w:szCs w:val="24"/>
          <w:lang w:val="es-ES_tradnl" w:eastAsia="es-ES"/>
        </w:rPr>
        <w:t xml:space="preserve">uando se halle en los archivos </w:t>
      </w:r>
      <w:r w:rsidR="00792776" w:rsidRPr="00586A12">
        <w:rPr>
          <w:rFonts w:ascii="Palatino Linotype" w:eastAsia="MS Mincho" w:hAnsi="Palatino Linotype" w:cs="Times New Roman"/>
          <w:sz w:val="24"/>
          <w:szCs w:val="24"/>
          <w:lang w:val="es-ES_tradnl" w:eastAsia="es-ES"/>
        </w:rPr>
        <w:t xml:space="preserve">documentales de los </w:t>
      </w:r>
      <w:r w:rsidR="00CC7E82" w:rsidRPr="00586A12">
        <w:rPr>
          <w:rFonts w:ascii="Palatino Linotype" w:eastAsia="MS Mincho" w:hAnsi="Palatino Linotype" w:cs="Times New Roman"/>
          <w:sz w:val="24"/>
          <w:szCs w:val="24"/>
          <w:lang w:val="es-ES_tradnl" w:eastAsia="es-ES"/>
        </w:rPr>
        <w:t xml:space="preserve">sujeto obligados </w:t>
      </w:r>
      <w:r w:rsidR="00792776" w:rsidRPr="00586A12">
        <w:rPr>
          <w:rFonts w:ascii="Palatino Linotype" w:eastAsia="MS Mincho" w:hAnsi="Palatino Linotype" w:cs="Times New Roman"/>
          <w:sz w:val="24"/>
          <w:szCs w:val="24"/>
          <w:lang w:val="es-ES_tradnl" w:eastAsia="es-ES"/>
        </w:rPr>
        <w:t xml:space="preserve">y en las condiciones que se encuentre, la cual no podrá sufrir </w:t>
      </w:r>
      <w:r w:rsidRPr="00586A12">
        <w:rPr>
          <w:rFonts w:ascii="Palatino Linotype" w:eastAsia="MS Mincho" w:hAnsi="Palatino Linotype" w:cs="Times New Roman"/>
          <w:sz w:val="24"/>
          <w:szCs w:val="24"/>
          <w:lang w:val="es-ES_tradnl" w:eastAsia="es-ES"/>
        </w:rPr>
        <w:t xml:space="preserve">modificaciones o procesamiento y </w:t>
      </w:r>
      <w:r w:rsidR="00792776" w:rsidRPr="00586A12">
        <w:rPr>
          <w:rFonts w:ascii="Palatino Linotype" w:eastAsia="MS Mincho" w:hAnsi="Palatino Linotype" w:cs="Times New Roman"/>
          <w:sz w:val="24"/>
          <w:szCs w:val="24"/>
          <w:lang w:val="es-ES_tradnl" w:eastAsia="es-ES"/>
        </w:rPr>
        <w:t xml:space="preserve">no </w:t>
      </w:r>
      <w:r w:rsidRPr="00586A12">
        <w:rPr>
          <w:rFonts w:ascii="Palatino Linotype" w:eastAsia="MS Mincho" w:hAnsi="Palatino Linotype" w:cs="Times New Roman"/>
          <w:sz w:val="24"/>
          <w:szCs w:val="24"/>
          <w:lang w:val="es-ES_tradnl" w:eastAsia="es-ES"/>
        </w:rPr>
        <w:t xml:space="preserve">deberá ser </w:t>
      </w:r>
      <w:r w:rsidR="00792776" w:rsidRPr="00586A12">
        <w:rPr>
          <w:rFonts w:ascii="Palatino Linotype" w:eastAsia="MS Mincho" w:hAnsi="Palatino Linotype" w:cs="Times New Roman"/>
          <w:sz w:val="24"/>
          <w:szCs w:val="24"/>
          <w:lang w:val="es-ES_tradnl" w:eastAsia="es-ES"/>
        </w:rPr>
        <w:t>p</w:t>
      </w:r>
      <w:r w:rsidRPr="00586A12">
        <w:rPr>
          <w:rFonts w:ascii="Palatino Linotype" w:eastAsia="MS Mincho" w:hAnsi="Palatino Linotype" w:cs="Times New Roman"/>
          <w:sz w:val="24"/>
          <w:szCs w:val="24"/>
          <w:lang w:val="es-ES_tradnl" w:eastAsia="es-ES"/>
        </w:rPr>
        <w:t>resentada</w:t>
      </w:r>
      <w:r w:rsidR="00892202" w:rsidRPr="00586A12">
        <w:rPr>
          <w:rFonts w:ascii="Palatino Linotype" w:eastAsia="MS Mincho" w:hAnsi="Palatino Linotype" w:cs="Times New Roman"/>
          <w:sz w:val="24"/>
          <w:szCs w:val="24"/>
          <w:lang w:val="es-ES_tradnl" w:eastAsia="es-ES"/>
        </w:rPr>
        <w:t xml:space="preserve"> conforme a los intereses</w:t>
      </w:r>
      <w:r w:rsidRPr="00586A12">
        <w:rPr>
          <w:rFonts w:ascii="Palatino Linotype" w:eastAsia="MS Mincho" w:hAnsi="Palatino Linotype" w:cs="Times New Roman"/>
          <w:sz w:val="24"/>
          <w:szCs w:val="24"/>
          <w:lang w:val="es-ES_tradnl" w:eastAsia="es-ES"/>
        </w:rPr>
        <w:t xml:space="preserve"> de los particulares, así como, los S</w:t>
      </w:r>
      <w:r w:rsidR="00792776" w:rsidRPr="00586A12">
        <w:rPr>
          <w:rFonts w:ascii="Palatino Linotype" w:eastAsia="MS Mincho" w:hAnsi="Palatino Linotype" w:cs="Times New Roman"/>
          <w:sz w:val="24"/>
          <w:szCs w:val="24"/>
          <w:lang w:val="es-ES_tradnl" w:eastAsia="es-ES"/>
        </w:rPr>
        <w:t xml:space="preserve">ujeto </w:t>
      </w:r>
      <w:r w:rsidRPr="00586A12">
        <w:rPr>
          <w:rFonts w:ascii="Palatino Linotype" w:eastAsia="MS Mincho" w:hAnsi="Palatino Linotype" w:cs="Times New Roman"/>
          <w:sz w:val="24"/>
          <w:szCs w:val="24"/>
          <w:lang w:val="es-ES_tradnl" w:eastAsia="es-ES"/>
        </w:rPr>
        <w:t>O</w:t>
      </w:r>
      <w:r w:rsidR="00792776" w:rsidRPr="00586A12">
        <w:rPr>
          <w:rFonts w:ascii="Palatino Linotype" w:eastAsia="MS Mincho" w:hAnsi="Palatino Linotype" w:cs="Times New Roman"/>
          <w:sz w:val="24"/>
          <w:szCs w:val="24"/>
          <w:lang w:val="es-ES_tradnl" w:eastAsia="es-ES"/>
        </w:rPr>
        <w:t>bligados no deberán de generar, resumir o efectuar cálculos o practicar investigaciones.</w:t>
      </w:r>
    </w:p>
    <w:p w:rsidR="00314F26" w:rsidRPr="003E585E" w:rsidRDefault="00314F26" w:rsidP="00D95A22">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Default="00E204F9" w:rsidP="005176B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FD701E">
        <w:rPr>
          <w:rFonts w:ascii="Palatino Linotype" w:eastAsia="MS Mincho" w:hAnsi="Palatino Linotype" w:cs="Times New Roman"/>
          <w:b/>
          <w:sz w:val="24"/>
          <w:szCs w:val="24"/>
          <w:lang w:val="es-ES_tradnl" w:eastAsia="es-ES"/>
        </w:rPr>
        <w:t xml:space="preserve">Instituto de Seguridad Social del Estado de México y Municipios (ISSEMyM) </w:t>
      </w:r>
      <w:r>
        <w:rPr>
          <w:rFonts w:ascii="Palatino Linotype" w:eastAsia="MS Mincho" w:hAnsi="Palatino Linotype" w:cs="Times New Roman"/>
          <w:sz w:val="24"/>
          <w:szCs w:val="24"/>
          <w:lang w:val="es-ES_tradnl" w:eastAsia="es-ES"/>
        </w:rPr>
        <w:t>la información relativa a:</w:t>
      </w:r>
    </w:p>
    <w:p w:rsidR="00E204F9" w:rsidRDefault="00E204F9" w:rsidP="00D95A22">
      <w:pPr>
        <w:pStyle w:val="Prrafodelista"/>
        <w:spacing w:line="360" w:lineRule="auto"/>
        <w:rPr>
          <w:rFonts w:ascii="Palatino Linotype" w:eastAsia="MS Mincho" w:hAnsi="Palatino Linotype" w:cs="Times New Roman"/>
          <w:sz w:val="24"/>
          <w:szCs w:val="24"/>
          <w:lang w:val="es-ES_tradnl" w:eastAsia="es-ES"/>
        </w:rPr>
      </w:pPr>
    </w:p>
    <w:p w:rsidR="00E204F9" w:rsidRPr="00E659ED" w:rsidRDefault="003B571D" w:rsidP="00135AAB">
      <w:pPr>
        <w:pStyle w:val="Prrafodelista"/>
        <w:numPr>
          <w:ilvl w:val="0"/>
          <w:numId w:val="22"/>
        </w:numPr>
        <w:spacing w:after="0" w:line="360" w:lineRule="auto"/>
        <w:ind w:left="993" w:right="567"/>
        <w:jc w:val="both"/>
        <w:rPr>
          <w:rFonts w:ascii="Palatino Linotype" w:eastAsia="MS Mincho" w:hAnsi="Palatino Linotype" w:cs="Times New Roman"/>
          <w:b/>
          <w:sz w:val="24"/>
          <w:szCs w:val="24"/>
          <w:lang w:val="es-ES_tradnl" w:eastAsia="es-ES"/>
        </w:rPr>
      </w:pPr>
      <w:r w:rsidRPr="00E659ED">
        <w:rPr>
          <w:rFonts w:ascii="Palatino Linotype" w:eastAsia="MS Mincho" w:hAnsi="Palatino Linotype" w:cs="Times New Roman"/>
          <w:b/>
          <w:sz w:val="24"/>
          <w:szCs w:val="24"/>
          <w:lang w:val="es-ES_tradnl" w:eastAsia="es-ES"/>
        </w:rPr>
        <w:t xml:space="preserve">Copia de los convenios que el ISSEMyM ha firmado con los municipios, Organismos Auxiliares Estatales, Sistemas Municipales DIF, para restructuración de deuda e importes pendientes de pago en el año 2015, 2016, 2017 y 2018. </w:t>
      </w:r>
    </w:p>
    <w:p w:rsidR="005176BA" w:rsidRPr="005176BA" w:rsidRDefault="005176BA" w:rsidP="005176BA">
      <w:pPr>
        <w:pStyle w:val="Prrafodelista"/>
        <w:spacing w:after="0" w:line="360" w:lineRule="auto"/>
        <w:ind w:left="567" w:right="567"/>
        <w:jc w:val="both"/>
        <w:rPr>
          <w:rFonts w:ascii="Palatino Linotype" w:eastAsia="MS Mincho" w:hAnsi="Palatino Linotype" w:cs="Times New Roman"/>
          <w:sz w:val="24"/>
          <w:szCs w:val="24"/>
          <w:lang w:val="es-ES_tradnl" w:eastAsia="es-ES"/>
        </w:rPr>
      </w:pPr>
    </w:p>
    <w:p w:rsidR="00F350E6" w:rsidRPr="00E204F9" w:rsidRDefault="00E204F9" w:rsidP="00D95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relación con lo anterior, la </w:t>
      </w:r>
      <w:r w:rsidR="00135AAB">
        <w:rPr>
          <w:rFonts w:ascii="Palatino Linotype" w:eastAsia="MS Mincho" w:hAnsi="Palatino Linotype" w:cs="Times New Roman"/>
          <w:sz w:val="24"/>
          <w:szCs w:val="24"/>
          <w:lang w:val="es-ES_tradnl" w:eastAsia="es-ES"/>
        </w:rPr>
        <w:t xml:space="preserve"> L</w:t>
      </w:r>
      <w:r w:rsidR="00A474D9" w:rsidRPr="00E204F9">
        <w:rPr>
          <w:rFonts w:ascii="Palatino Linotype" w:eastAsia="MS Mincho" w:hAnsi="Palatino Linotype" w:cs="Times New Roman"/>
          <w:sz w:val="24"/>
          <w:szCs w:val="24"/>
          <w:lang w:val="es-ES_tradnl" w:eastAsia="es-ES"/>
        </w:rPr>
        <w:t>ey de Transparencia del Estado</w:t>
      </w:r>
      <w:r w:rsidRPr="00E204F9">
        <w:rPr>
          <w:rFonts w:ascii="Palatino Linotype" w:eastAsia="MS Mincho" w:hAnsi="Palatino Linotype" w:cs="Times New Roman"/>
          <w:sz w:val="24"/>
          <w:szCs w:val="24"/>
          <w:lang w:val="es-ES_tradnl" w:eastAsia="es-ES"/>
        </w:rPr>
        <w:t xml:space="preserve"> </w:t>
      </w:r>
      <w:r w:rsidR="00F350E6" w:rsidRPr="00E204F9">
        <w:rPr>
          <w:rFonts w:ascii="Palatino Linotype" w:eastAsia="Times New Roman" w:hAnsi="Palatino Linotype" w:cs="Arial"/>
          <w:sz w:val="24"/>
          <w:szCs w:val="24"/>
          <w:lang w:eastAsia="es-ES"/>
        </w:rPr>
        <w:t xml:space="preserve">en su artículo 23 fracción IV </w:t>
      </w:r>
      <w:r w:rsidR="0070716A" w:rsidRPr="00E204F9">
        <w:rPr>
          <w:rFonts w:ascii="Palatino Linotype" w:eastAsia="Times New Roman" w:hAnsi="Palatino Linotype" w:cs="Arial"/>
          <w:sz w:val="24"/>
          <w:szCs w:val="24"/>
          <w:lang w:eastAsia="es-ES"/>
        </w:rPr>
        <w:t xml:space="preserve">establece </w:t>
      </w:r>
      <w:r w:rsidR="00F350E6" w:rsidRPr="00E204F9">
        <w:rPr>
          <w:rFonts w:ascii="Palatino Linotype" w:eastAsia="Times New Roman" w:hAnsi="Palatino Linotype" w:cs="Arial"/>
          <w:sz w:val="24"/>
          <w:szCs w:val="24"/>
          <w:lang w:eastAsia="es-ES"/>
        </w:rPr>
        <w:t>que son Sujetos Obligados a transparentar y permitir el acceso a su información y proteger los datos que obren en su poder;</w:t>
      </w:r>
    </w:p>
    <w:p w:rsidR="00F350E6" w:rsidRPr="00CA4E53" w:rsidRDefault="00F350E6" w:rsidP="00D95A22">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2356A" w:rsidRDefault="0032356A" w:rsidP="00D95A22">
      <w:pPr>
        <w:pStyle w:val="Prrafodelista"/>
        <w:spacing w:after="0" w:line="360" w:lineRule="auto"/>
        <w:ind w:left="851" w:right="425"/>
        <w:rPr>
          <w:rFonts w:ascii="Palatino Linotype" w:eastAsia="Times New Roman" w:hAnsi="Palatino Linotype" w:cs="Arial"/>
          <w:i/>
          <w:lang w:eastAsia="es-ES"/>
        </w:rPr>
      </w:pPr>
      <w:r>
        <w:rPr>
          <w:rFonts w:ascii="Palatino Linotype" w:eastAsia="Times New Roman" w:hAnsi="Palatino Linotype" w:cs="Arial"/>
          <w:i/>
          <w:lang w:eastAsia="es-ES"/>
        </w:rPr>
        <w:t xml:space="preserve">“Art. 23.-  (…) </w:t>
      </w:r>
    </w:p>
    <w:p w:rsidR="00F801A8" w:rsidRDefault="00DE2C23" w:rsidP="00871F55">
      <w:pPr>
        <w:pStyle w:val="Prrafodelista"/>
        <w:spacing w:after="0" w:line="360" w:lineRule="auto"/>
        <w:ind w:left="567" w:right="567"/>
        <w:rPr>
          <w:rFonts w:ascii="Palatino Linotype" w:eastAsia="Times New Roman" w:hAnsi="Palatino Linotype" w:cs="Arial"/>
          <w:i/>
          <w:lang w:eastAsia="es-ES"/>
        </w:rPr>
      </w:pPr>
      <w:r>
        <w:rPr>
          <w:rFonts w:ascii="Palatino Linotype" w:eastAsia="Times New Roman" w:hAnsi="Palatino Linotype" w:cs="Arial"/>
          <w:i/>
          <w:lang w:eastAsia="es-ES"/>
        </w:rPr>
        <w:t xml:space="preserve">XI. Cualquier otra autoridad, entidad, órgano u organismo de los poderes estatal o municipal, que reciba recursos públicos. </w:t>
      </w:r>
    </w:p>
    <w:p w:rsidR="00DE2C23" w:rsidRPr="00DE2C23" w:rsidRDefault="0032356A" w:rsidP="00871F55">
      <w:pPr>
        <w:pStyle w:val="Prrafodelista"/>
        <w:spacing w:after="0" w:line="360" w:lineRule="auto"/>
        <w:ind w:left="567" w:right="425"/>
        <w:rPr>
          <w:rFonts w:ascii="Palatino Linotype" w:eastAsia="Times New Roman" w:hAnsi="Palatino Linotype" w:cs="Arial"/>
          <w:i/>
          <w:lang w:eastAsia="es-ES"/>
        </w:rPr>
      </w:pPr>
      <w:r>
        <w:rPr>
          <w:rFonts w:ascii="Palatino Linotype" w:eastAsia="Times New Roman" w:hAnsi="Palatino Linotype" w:cs="Arial"/>
          <w:i/>
          <w:lang w:eastAsia="es-ES"/>
        </w:rPr>
        <w:t>(…)”</w:t>
      </w:r>
    </w:p>
    <w:p w:rsidR="003F2187" w:rsidRPr="003F2187" w:rsidRDefault="003F2187" w:rsidP="00D95A22">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52B52" w:rsidRDefault="00DE2C23" w:rsidP="00D95A22">
      <w:pPr>
        <w:pStyle w:val="Sinespaciado"/>
        <w:numPr>
          <w:ilvl w:val="0"/>
          <w:numId w:val="2"/>
        </w:numPr>
        <w:spacing w:line="360" w:lineRule="auto"/>
        <w:ind w:left="0" w:firstLine="0"/>
        <w:jc w:val="both"/>
        <w:rPr>
          <w:rFonts w:ascii="Palatino Linotype" w:hAnsi="Palatino Linotype" w:cs="Arial"/>
          <w:sz w:val="24"/>
          <w:szCs w:val="24"/>
        </w:rPr>
      </w:pPr>
      <w:r>
        <w:rPr>
          <w:rFonts w:ascii="Palatino Linotype" w:hAnsi="Palatino Linotype"/>
          <w:sz w:val="24"/>
          <w:szCs w:val="24"/>
        </w:rPr>
        <w:t>E</w:t>
      </w:r>
      <w:r w:rsidRPr="00795A3C">
        <w:rPr>
          <w:rFonts w:ascii="Palatino Linotype" w:hAnsi="Palatino Linotype"/>
          <w:sz w:val="24"/>
          <w:szCs w:val="24"/>
        </w:rPr>
        <w:t xml:space="preserve">s necesario </w:t>
      </w:r>
      <w:r>
        <w:rPr>
          <w:rFonts w:ascii="Palatino Linotype" w:hAnsi="Palatino Linotype"/>
          <w:sz w:val="24"/>
          <w:szCs w:val="24"/>
        </w:rPr>
        <w:t xml:space="preserve"> referir </w:t>
      </w:r>
      <w:r w:rsidRPr="00795A3C">
        <w:rPr>
          <w:rFonts w:ascii="Palatino Linotype" w:hAnsi="Palatino Linotype"/>
          <w:sz w:val="24"/>
          <w:szCs w:val="24"/>
        </w:rPr>
        <w:t xml:space="preserve">que </w:t>
      </w:r>
      <w:r>
        <w:rPr>
          <w:rFonts w:ascii="Palatino Linotype" w:hAnsi="Palatino Linotype"/>
          <w:sz w:val="24"/>
          <w:szCs w:val="24"/>
        </w:rPr>
        <w:t xml:space="preserve">se omite </w:t>
      </w:r>
      <w:r w:rsidRPr="00795A3C">
        <w:rPr>
          <w:rFonts w:ascii="Palatino Linotype" w:hAnsi="Palatino Linotype"/>
          <w:sz w:val="24"/>
          <w:szCs w:val="24"/>
        </w:rPr>
        <w:t xml:space="preserve">el estudio de la naturaleza jurídica de la información pública solicitada, toda vez que el </w:t>
      </w:r>
      <w:r w:rsidRPr="00795A3C">
        <w:rPr>
          <w:rFonts w:ascii="Palatino Linotype" w:hAnsi="Palatino Linotype"/>
          <w:b/>
          <w:sz w:val="24"/>
          <w:szCs w:val="24"/>
        </w:rPr>
        <w:t>SUJETO OBLIGADO</w:t>
      </w:r>
      <w:r w:rsidRPr="00795A3C">
        <w:rPr>
          <w:rFonts w:ascii="Palatino Linotype" w:hAnsi="Palatino Linotype"/>
          <w:sz w:val="24"/>
          <w:szCs w:val="24"/>
        </w:rPr>
        <w:t xml:space="preserve"> </w:t>
      </w:r>
      <w:r>
        <w:rPr>
          <w:rFonts w:ascii="Palatino Linotype" w:hAnsi="Palatino Linotype"/>
          <w:sz w:val="24"/>
          <w:szCs w:val="24"/>
        </w:rPr>
        <w:t>en su respuesta señaló que la información</w:t>
      </w:r>
      <w:r w:rsidR="00135AAB">
        <w:rPr>
          <w:rFonts w:ascii="Palatino Linotype" w:hAnsi="Palatino Linotype"/>
          <w:sz w:val="24"/>
          <w:szCs w:val="24"/>
        </w:rPr>
        <w:t xml:space="preserve"> existe, pero está pretendiendo clasificarla como reservada</w:t>
      </w:r>
      <w:r>
        <w:rPr>
          <w:rFonts w:ascii="Palatino Linotype" w:hAnsi="Palatino Linotype"/>
          <w:sz w:val="24"/>
          <w:szCs w:val="24"/>
        </w:rPr>
        <w:t xml:space="preserve">, motivo por el cual no es posible proporcionar la información solicitada, esto nos llevó primeramente al entendido de que la información se encontraba en posesión del </w:t>
      </w:r>
      <w:r w:rsidRPr="00DE2C23">
        <w:rPr>
          <w:rFonts w:ascii="Palatino Linotype" w:hAnsi="Palatino Linotype"/>
          <w:b/>
          <w:sz w:val="24"/>
          <w:szCs w:val="24"/>
        </w:rPr>
        <w:t>SUJETO OBLIGADO</w:t>
      </w:r>
      <w:r>
        <w:rPr>
          <w:rFonts w:ascii="Palatino Linotype" w:hAnsi="Palatino Linotype"/>
          <w:sz w:val="24"/>
          <w:szCs w:val="24"/>
        </w:rPr>
        <w:t xml:space="preserve"> y posteriormente se corroboró mediante diligencia que la información efectivamente estaba en posesión del mismo. </w:t>
      </w:r>
    </w:p>
    <w:p w:rsidR="00152B52" w:rsidRDefault="00152B52" w:rsidP="00D95A22">
      <w:pPr>
        <w:pStyle w:val="Sinespaciado"/>
        <w:spacing w:line="360" w:lineRule="auto"/>
        <w:jc w:val="both"/>
        <w:rPr>
          <w:rFonts w:ascii="Palatino Linotype" w:hAnsi="Palatino Linotype" w:cs="Arial"/>
          <w:sz w:val="24"/>
          <w:szCs w:val="24"/>
        </w:rPr>
      </w:pPr>
    </w:p>
    <w:p w:rsidR="00152B52" w:rsidRPr="00152B52" w:rsidRDefault="00152B52" w:rsidP="00205BAD">
      <w:pPr>
        <w:pStyle w:val="Sinespaciado"/>
        <w:numPr>
          <w:ilvl w:val="0"/>
          <w:numId w:val="18"/>
        </w:numPr>
        <w:spacing w:line="360" w:lineRule="auto"/>
        <w:ind w:left="709"/>
        <w:jc w:val="both"/>
        <w:rPr>
          <w:rFonts w:ascii="Palatino Linotype" w:hAnsi="Palatino Linotype" w:cs="Arial"/>
          <w:b/>
          <w:sz w:val="24"/>
          <w:szCs w:val="24"/>
        </w:rPr>
      </w:pPr>
      <w:r w:rsidRPr="00152B52">
        <w:rPr>
          <w:rFonts w:ascii="Palatino Linotype" w:hAnsi="Palatino Linotype" w:cs="Arial"/>
          <w:b/>
          <w:sz w:val="24"/>
          <w:szCs w:val="24"/>
        </w:rPr>
        <w:t xml:space="preserve">De la respuesta del SUJETO OBLIGADO. </w:t>
      </w:r>
    </w:p>
    <w:p w:rsidR="00FD701E" w:rsidRPr="00DE2C23" w:rsidRDefault="00FD701E" w:rsidP="00D95A22">
      <w:pPr>
        <w:pStyle w:val="Sinespaciado"/>
        <w:spacing w:line="360" w:lineRule="auto"/>
        <w:jc w:val="both"/>
        <w:rPr>
          <w:rFonts w:ascii="Palatino Linotype" w:hAnsi="Palatino Linotype" w:cs="Arial"/>
          <w:sz w:val="24"/>
          <w:szCs w:val="24"/>
        </w:rPr>
      </w:pPr>
    </w:p>
    <w:p w:rsidR="00871F55" w:rsidRDefault="00DE2C23" w:rsidP="00871F55">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Para adentrar</w:t>
      </w:r>
      <w:r w:rsidR="00A0112A">
        <w:rPr>
          <w:rFonts w:ascii="Palatino Linotype" w:eastAsia="MS Mincho" w:hAnsi="Palatino Linotype" w:cs="Times New Roman"/>
          <w:sz w:val="24"/>
          <w:szCs w:val="24"/>
          <w:lang w:val="es-ES" w:eastAsia="es-ES"/>
        </w:rPr>
        <w:t>nos</w:t>
      </w:r>
      <w:r>
        <w:rPr>
          <w:rFonts w:ascii="Palatino Linotype" w:eastAsia="MS Mincho" w:hAnsi="Palatino Linotype" w:cs="Times New Roman"/>
          <w:sz w:val="24"/>
          <w:szCs w:val="24"/>
          <w:lang w:val="es-ES" w:eastAsia="es-ES"/>
        </w:rPr>
        <w:t xml:space="preserve"> al caso que nos ocupa, es menester referir que el </w:t>
      </w:r>
      <w:r w:rsidRPr="00D60350">
        <w:rPr>
          <w:rFonts w:ascii="Palatino Linotype" w:eastAsia="MS Mincho" w:hAnsi="Palatino Linotype" w:cs="Times New Roman"/>
          <w:b/>
          <w:sz w:val="24"/>
          <w:szCs w:val="24"/>
          <w:lang w:val="es-ES" w:eastAsia="es-ES"/>
        </w:rPr>
        <w:t>SU</w:t>
      </w:r>
      <w:r w:rsidR="00FD701E" w:rsidRPr="00D60350">
        <w:rPr>
          <w:rFonts w:ascii="Palatino Linotype" w:eastAsia="MS Mincho" w:hAnsi="Palatino Linotype" w:cs="Times New Roman"/>
          <w:b/>
          <w:sz w:val="24"/>
          <w:szCs w:val="24"/>
          <w:lang w:val="es-ES" w:eastAsia="es-ES"/>
        </w:rPr>
        <w:t>JETO OBLIGADO</w:t>
      </w:r>
      <w:r w:rsidR="00FD701E">
        <w:rPr>
          <w:rFonts w:ascii="Palatino Linotype" w:eastAsia="MS Mincho" w:hAnsi="Palatino Linotype" w:cs="Times New Roman"/>
          <w:sz w:val="24"/>
          <w:szCs w:val="24"/>
          <w:lang w:val="es-ES" w:eastAsia="es-ES"/>
        </w:rPr>
        <w:t xml:space="preserve"> en el acuerdo por medio del cual clasifica la información como reservada, señala que proporci</w:t>
      </w:r>
      <w:r w:rsidR="00744AB7">
        <w:rPr>
          <w:rFonts w:ascii="Palatino Linotype" w:eastAsia="MS Mincho" w:hAnsi="Palatino Linotype" w:cs="Times New Roman"/>
          <w:sz w:val="24"/>
          <w:szCs w:val="24"/>
          <w:lang w:val="es-ES" w:eastAsia="es-ES"/>
        </w:rPr>
        <w:t>onar los convenios que el ISSEMY</w:t>
      </w:r>
      <w:r w:rsidR="00FD701E">
        <w:rPr>
          <w:rFonts w:ascii="Palatino Linotype" w:eastAsia="MS Mincho" w:hAnsi="Palatino Linotype" w:cs="Times New Roman"/>
          <w:sz w:val="24"/>
          <w:szCs w:val="24"/>
          <w:lang w:val="es-ES" w:eastAsia="es-ES"/>
        </w:rPr>
        <w:t>M ha firmado con los municipios para reestructuración de deuda e importes pendientes de pago en el año 2015, 2016, 2017 y 2</w:t>
      </w:r>
      <w:r w:rsidR="00FD701E" w:rsidRPr="00871F55">
        <w:rPr>
          <w:rFonts w:ascii="Palatino Linotype" w:eastAsia="MS Mincho" w:hAnsi="Palatino Linotype" w:cs="Times New Roman"/>
          <w:sz w:val="24"/>
          <w:szCs w:val="24"/>
          <w:lang w:val="es-ES" w:eastAsia="es-ES"/>
        </w:rPr>
        <w:t>018, causaría un daño serio a la actividades de fiscalización, verificación, inspección, de recaudación de las contribucion</w:t>
      </w:r>
      <w:r w:rsidR="00871F55">
        <w:rPr>
          <w:rFonts w:ascii="Palatino Linotype" w:eastAsia="MS Mincho" w:hAnsi="Palatino Linotype" w:cs="Times New Roman"/>
          <w:sz w:val="24"/>
          <w:szCs w:val="24"/>
          <w:lang w:val="es-ES" w:eastAsia="es-ES"/>
        </w:rPr>
        <w:t xml:space="preserve">es por lo que  en razón a ello </w:t>
      </w:r>
      <w:r w:rsidR="00FD701E" w:rsidRPr="00871F55">
        <w:rPr>
          <w:rFonts w:ascii="Palatino Linotype" w:eastAsia="MS Mincho" w:hAnsi="Palatino Linotype" w:cs="Times New Roman"/>
          <w:sz w:val="24"/>
          <w:szCs w:val="24"/>
          <w:lang w:val="es-ES" w:eastAsia="es-ES"/>
        </w:rPr>
        <w:t>toma el carácter de reservada</w:t>
      </w:r>
      <w:r w:rsidR="00135AAB">
        <w:rPr>
          <w:rFonts w:ascii="Palatino Linotype" w:eastAsia="MS Mincho" w:hAnsi="Palatino Linotype" w:cs="Times New Roman"/>
          <w:sz w:val="24"/>
          <w:szCs w:val="24"/>
          <w:lang w:val="es-ES" w:eastAsia="es-ES"/>
        </w:rPr>
        <w:t xml:space="preserve">, por lo que ante tal situación la presente </w:t>
      </w:r>
      <w:r w:rsidR="00135AAB">
        <w:rPr>
          <w:rFonts w:ascii="Palatino Linotype" w:eastAsia="MS Mincho" w:hAnsi="Palatino Linotype" w:cs="Times New Roman"/>
          <w:sz w:val="24"/>
          <w:szCs w:val="24"/>
          <w:lang w:val="es-ES" w:eastAsia="es-ES"/>
        </w:rPr>
        <w:lastRenderedPageBreak/>
        <w:t>resolución se delimita a determinar su resulta procedente o no su clasificación, para lo cual se desarrollaran las siguientes consideraciones:</w:t>
      </w:r>
    </w:p>
    <w:p w:rsidR="0037219D" w:rsidRDefault="0037219D" w:rsidP="0037219D">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37219D" w:rsidRDefault="0037219D" w:rsidP="00205BAD">
      <w:pPr>
        <w:pStyle w:val="Prrafodelista"/>
        <w:numPr>
          <w:ilvl w:val="0"/>
          <w:numId w:val="18"/>
        </w:numPr>
        <w:spacing w:after="0" w:line="360" w:lineRule="auto"/>
        <w:ind w:left="709" w:right="49"/>
        <w:jc w:val="both"/>
        <w:rPr>
          <w:rFonts w:ascii="Palatino Linotype" w:eastAsia="MS Mincho" w:hAnsi="Palatino Linotype" w:cs="Times New Roman"/>
          <w:b/>
          <w:sz w:val="24"/>
          <w:szCs w:val="24"/>
          <w:lang w:val="es-ES" w:eastAsia="es-ES"/>
        </w:rPr>
      </w:pPr>
      <w:r w:rsidRPr="0037219D">
        <w:rPr>
          <w:rFonts w:ascii="Palatino Linotype" w:eastAsia="MS Mincho" w:hAnsi="Palatino Linotype" w:cs="Times New Roman"/>
          <w:b/>
          <w:sz w:val="24"/>
          <w:szCs w:val="24"/>
          <w:lang w:val="es-ES" w:eastAsia="es-ES"/>
        </w:rPr>
        <w:t xml:space="preserve">De las obligaciones de las Instituciones con el ISSEMYM. </w:t>
      </w:r>
    </w:p>
    <w:p w:rsidR="0037219D" w:rsidRPr="0037219D" w:rsidRDefault="0037219D" w:rsidP="000F4901">
      <w:pPr>
        <w:spacing w:after="0" w:line="360" w:lineRule="auto"/>
        <w:ind w:right="49"/>
        <w:jc w:val="both"/>
        <w:rPr>
          <w:rFonts w:ascii="Palatino Linotype" w:eastAsia="MS Mincho" w:hAnsi="Palatino Linotype" w:cs="Times New Roman"/>
          <w:b/>
          <w:sz w:val="24"/>
          <w:szCs w:val="24"/>
          <w:lang w:val="es-ES" w:eastAsia="es-ES"/>
        </w:rPr>
      </w:pPr>
    </w:p>
    <w:p w:rsidR="00E0005D" w:rsidRPr="00E0005D" w:rsidRDefault="000F4901" w:rsidP="00E0005D">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lang w:val="es-ES" w:eastAsia="es-ES"/>
        </w:rPr>
      </w:pPr>
      <w:r>
        <w:rPr>
          <w:rFonts w:ascii="Palatino Linotype" w:eastAsia="MS Mincho" w:hAnsi="Palatino Linotype" w:cs="Times New Roman"/>
          <w:sz w:val="24"/>
          <w:szCs w:val="24"/>
          <w:lang w:val="es-ES" w:eastAsia="es-ES"/>
        </w:rPr>
        <w:t xml:space="preserve">Para entrar en el estudio de este apartado, es indispensable aludir al </w:t>
      </w:r>
      <w:r w:rsidRPr="00135AAB">
        <w:rPr>
          <w:rFonts w:ascii="Palatino Linotype" w:eastAsia="MS Mincho" w:hAnsi="Palatino Linotype" w:cs="Times New Roman"/>
          <w:b/>
          <w:sz w:val="24"/>
          <w:szCs w:val="24"/>
          <w:lang w:val="es-ES" w:eastAsia="es-ES"/>
        </w:rPr>
        <w:t>concepto de prestación</w:t>
      </w:r>
      <w:r>
        <w:rPr>
          <w:rFonts w:ascii="Palatino Linotype" w:eastAsia="MS Mincho" w:hAnsi="Palatino Linotype" w:cs="Times New Roman"/>
          <w:sz w:val="24"/>
          <w:szCs w:val="24"/>
          <w:lang w:val="es-ES" w:eastAsia="es-ES"/>
        </w:rPr>
        <w:t xml:space="preserve">, que en sentido llano la Real Academia de la Lengua Español la define como “cosa o servicio exigido por una autoridad o convenido en un pacto”. Respecto a la materia que nos ocupa, </w:t>
      </w:r>
      <w:r w:rsidR="00762E1E">
        <w:rPr>
          <w:rFonts w:ascii="Palatino Linotype" w:eastAsia="MS Mincho" w:hAnsi="Palatino Linotype" w:cs="Times New Roman"/>
          <w:sz w:val="24"/>
          <w:szCs w:val="24"/>
          <w:lang w:val="es-ES" w:eastAsia="es-ES"/>
        </w:rPr>
        <w:t>las prestaciones sociales son un beneficio exclusivo para las personas que están vinculadas a un ente mediante un contrato, es decir la prestación social es lo que le debe el patrono al trabajador, en dinero, especie, servicios u otros beneficios por minist</w:t>
      </w:r>
      <w:r w:rsidR="00E0005D">
        <w:rPr>
          <w:rFonts w:ascii="Palatino Linotype" w:eastAsia="MS Mincho" w:hAnsi="Palatino Linotype" w:cs="Times New Roman"/>
          <w:sz w:val="24"/>
          <w:szCs w:val="24"/>
          <w:lang w:val="es-ES" w:eastAsia="es-ES"/>
        </w:rPr>
        <w:t xml:space="preserve">erio de la ley. </w:t>
      </w:r>
    </w:p>
    <w:p w:rsidR="00E0005D" w:rsidRPr="00E0005D" w:rsidRDefault="00E0005D" w:rsidP="00E0005D">
      <w:pPr>
        <w:pStyle w:val="Prrafodelista"/>
        <w:spacing w:after="0" w:line="360" w:lineRule="auto"/>
        <w:ind w:left="0" w:right="49"/>
        <w:jc w:val="both"/>
        <w:rPr>
          <w:rFonts w:ascii="Palatino Linotype" w:eastAsia="MS Mincho" w:hAnsi="Palatino Linotype" w:cs="Times New Roman"/>
          <w:b/>
          <w:sz w:val="24"/>
          <w:szCs w:val="24"/>
          <w:lang w:val="es-ES" w:eastAsia="es-ES"/>
        </w:rPr>
      </w:pPr>
    </w:p>
    <w:p w:rsidR="00FB2D48" w:rsidRPr="002018E8" w:rsidRDefault="00E0005D" w:rsidP="00FB2D48">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lang w:val="es-ES" w:eastAsia="es-ES"/>
        </w:rPr>
      </w:pPr>
      <w:r>
        <w:rPr>
          <w:rFonts w:ascii="Palatino Linotype" w:eastAsia="MS Mincho" w:hAnsi="Palatino Linotype" w:cs="Times New Roman"/>
          <w:sz w:val="24"/>
          <w:szCs w:val="24"/>
          <w:lang w:val="es-ES" w:eastAsia="es-ES"/>
        </w:rPr>
        <w:t xml:space="preserve">Ahora bien, en la ley </w:t>
      </w:r>
      <w:r w:rsidR="002018E8">
        <w:rPr>
          <w:rFonts w:ascii="Palatino Linotype" w:eastAsia="MS Mincho" w:hAnsi="Palatino Linotype" w:cs="Times New Roman"/>
          <w:sz w:val="24"/>
          <w:szCs w:val="24"/>
          <w:lang w:val="es-ES" w:eastAsia="es-ES"/>
        </w:rPr>
        <w:t xml:space="preserve">de la materia </w:t>
      </w:r>
      <w:r>
        <w:rPr>
          <w:rFonts w:ascii="Palatino Linotype" w:eastAsia="MS Mincho" w:hAnsi="Palatino Linotype" w:cs="Times New Roman"/>
          <w:sz w:val="24"/>
          <w:szCs w:val="24"/>
          <w:lang w:val="es-ES" w:eastAsia="es-ES"/>
        </w:rPr>
        <w:t>se establecen dos tipos de prestaciones, obligatorias y potestativas, dentro de las prestaciones obl</w:t>
      </w:r>
      <w:r w:rsidR="002018E8">
        <w:rPr>
          <w:rFonts w:ascii="Palatino Linotype" w:eastAsia="MS Mincho" w:hAnsi="Palatino Linotype" w:cs="Times New Roman"/>
          <w:sz w:val="24"/>
          <w:szCs w:val="24"/>
          <w:lang w:val="es-ES" w:eastAsia="es-ES"/>
        </w:rPr>
        <w:t>igatorias, se encuentran las de: se</w:t>
      </w:r>
      <w:r w:rsidRPr="002018E8">
        <w:rPr>
          <w:rFonts w:ascii="Palatino Linotype" w:eastAsia="MS Mincho" w:hAnsi="Palatino Linotype" w:cs="Times New Roman"/>
          <w:sz w:val="24"/>
          <w:szCs w:val="24"/>
          <w:lang w:val="es-ES" w:eastAsia="es-ES"/>
        </w:rPr>
        <w:t>guro de salud, el cual comprende; promoción a la salud y medicina preventiva, atención de enfermedades no profesionales y maternidad, rehabilitación f</w:t>
      </w:r>
      <w:r w:rsidR="002018E8">
        <w:rPr>
          <w:rFonts w:ascii="Palatino Linotype" w:eastAsia="MS Mincho" w:hAnsi="Palatino Linotype" w:cs="Times New Roman"/>
          <w:sz w:val="24"/>
          <w:szCs w:val="24"/>
          <w:lang w:val="es-ES" w:eastAsia="es-ES"/>
        </w:rPr>
        <w:t>ísica y mental, así también incluye los s</w:t>
      </w:r>
      <w:r w:rsidRPr="002018E8">
        <w:rPr>
          <w:rFonts w:ascii="Palatino Linotype" w:eastAsia="MS Mincho" w:hAnsi="Palatino Linotype" w:cs="Times New Roman"/>
          <w:sz w:val="24"/>
          <w:szCs w:val="24"/>
          <w:lang w:val="es-ES" w:eastAsia="es-ES"/>
        </w:rPr>
        <w:t>eguro</w:t>
      </w:r>
      <w:r w:rsidR="002018E8">
        <w:rPr>
          <w:rFonts w:ascii="Palatino Linotype" w:eastAsia="MS Mincho" w:hAnsi="Palatino Linotype" w:cs="Times New Roman"/>
          <w:sz w:val="24"/>
          <w:szCs w:val="24"/>
          <w:lang w:val="es-ES" w:eastAsia="es-ES"/>
        </w:rPr>
        <w:t>s</w:t>
      </w:r>
      <w:r w:rsidRPr="002018E8">
        <w:rPr>
          <w:rFonts w:ascii="Palatino Linotype" w:eastAsia="MS Mincho" w:hAnsi="Palatino Linotype" w:cs="Times New Roman"/>
          <w:sz w:val="24"/>
          <w:szCs w:val="24"/>
          <w:lang w:val="es-ES" w:eastAsia="es-ES"/>
        </w:rPr>
        <w:t xml:space="preserve"> de riesgos de trabajo</w:t>
      </w:r>
      <w:r w:rsidR="002018E8">
        <w:rPr>
          <w:rFonts w:ascii="Palatino Linotype" w:eastAsia="MS Mincho" w:hAnsi="Palatino Linotype" w:cs="Times New Roman"/>
          <w:sz w:val="24"/>
          <w:szCs w:val="24"/>
          <w:lang w:val="es-ES" w:eastAsia="es-ES"/>
        </w:rPr>
        <w:t>, s</w:t>
      </w:r>
      <w:r w:rsidRPr="002018E8">
        <w:rPr>
          <w:rFonts w:ascii="Palatino Linotype" w:eastAsia="MS Mincho" w:hAnsi="Palatino Linotype" w:cs="Times New Roman"/>
          <w:sz w:val="24"/>
          <w:szCs w:val="24"/>
          <w:lang w:val="es-ES" w:eastAsia="es-ES"/>
        </w:rPr>
        <w:t>eguro de retiro, cesant</w:t>
      </w:r>
      <w:r w:rsidR="002018E8">
        <w:rPr>
          <w:rFonts w:ascii="Palatino Linotype" w:eastAsia="MS Mincho" w:hAnsi="Palatino Linotype" w:cs="Times New Roman"/>
          <w:sz w:val="24"/>
          <w:szCs w:val="24"/>
          <w:lang w:val="es-ES" w:eastAsia="es-ES"/>
        </w:rPr>
        <w:t>ía en edad avanzada y vejez, s</w:t>
      </w:r>
      <w:r w:rsidRPr="002018E8">
        <w:rPr>
          <w:rFonts w:ascii="Palatino Linotype" w:eastAsia="MS Mincho" w:hAnsi="Palatino Linotype" w:cs="Times New Roman"/>
          <w:sz w:val="24"/>
          <w:szCs w:val="24"/>
          <w:lang w:val="es-ES" w:eastAsia="es-ES"/>
        </w:rPr>
        <w:t>eguro de invalidez y vida</w:t>
      </w:r>
      <w:r w:rsidR="002018E8">
        <w:rPr>
          <w:rFonts w:ascii="Palatino Linotype" w:eastAsia="MS Mincho" w:hAnsi="Palatino Linotype" w:cs="Times New Roman"/>
          <w:sz w:val="24"/>
          <w:szCs w:val="24"/>
          <w:lang w:val="es-ES" w:eastAsia="es-ES"/>
        </w:rPr>
        <w:t xml:space="preserve"> entre otras y entre las potestativas incluye las prestaciones sociales, culturales y asistenciales. </w:t>
      </w:r>
    </w:p>
    <w:p w:rsidR="0024486E" w:rsidRPr="000F4901" w:rsidRDefault="0024486E" w:rsidP="0024486E">
      <w:pPr>
        <w:pStyle w:val="Prrafodelista"/>
        <w:spacing w:after="0" w:line="360" w:lineRule="auto"/>
        <w:ind w:left="0" w:right="49"/>
        <w:jc w:val="both"/>
        <w:rPr>
          <w:rFonts w:ascii="Palatino Linotype" w:eastAsia="MS Mincho" w:hAnsi="Palatino Linotype" w:cs="Times New Roman"/>
          <w:b/>
          <w:sz w:val="24"/>
          <w:szCs w:val="24"/>
          <w:lang w:val="es-ES" w:eastAsia="es-ES"/>
        </w:rPr>
      </w:pPr>
    </w:p>
    <w:p w:rsidR="00B07E95" w:rsidRPr="0037219D" w:rsidRDefault="002018E8" w:rsidP="0037219D">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lang w:val="es-ES" w:eastAsia="es-ES"/>
        </w:rPr>
      </w:pPr>
      <w:r>
        <w:rPr>
          <w:rFonts w:ascii="Palatino Linotype" w:eastAsia="MS Mincho" w:hAnsi="Palatino Linotype" w:cs="Times New Roman"/>
          <w:sz w:val="24"/>
          <w:szCs w:val="24"/>
          <w:lang w:val="es-ES" w:eastAsia="es-ES"/>
        </w:rPr>
        <w:lastRenderedPageBreak/>
        <w:t xml:space="preserve">Ahora bien, es indispensable traer a colación que  la </w:t>
      </w:r>
      <w:r w:rsidRPr="00135AAB">
        <w:rPr>
          <w:rFonts w:ascii="Palatino Linotype" w:eastAsia="MS Mincho" w:hAnsi="Palatino Linotype" w:cs="Times New Roman"/>
          <w:b/>
          <w:sz w:val="24"/>
          <w:szCs w:val="24"/>
          <w:lang w:val="es-ES" w:eastAsia="es-ES"/>
        </w:rPr>
        <w:t>L</w:t>
      </w:r>
      <w:r w:rsidR="00B07E95" w:rsidRPr="00135AAB">
        <w:rPr>
          <w:rFonts w:ascii="Palatino Linotype" w:eastAsia="MS Mincho" w:hAnsi="Palatino Linotype" w:cs="Times New Roman"/>
          <w:b/>
          <w:sz w:val="24"/>
          <w:szCs w:val="24"/>
          <w:lang w:val="es-ES" w:eastAsia="es-ES"/>
        </w:rPr>
        <w:t>ey de Seguridad Social para los Servidores Públicos de</w:t>
      </w:r>
      <w:r w:rsidR="0037219D" w:rsidRPr="00135AAB">
        <w:rPr>
          <w:rFonts w:ascii="Palatino Linotype" w:eastAsia="MS Mincho" w:hAnsi="Palatino Linotype" w:cs="Times New Roman"/>
          <w:b/>
          <w:sz w:val="24"/>
          <w:szCs w:val="24"/>
          <w:lang w:val="es-ES" w:eastAsia="es-ES"/>
        </w:rPr>
        <w:t>l Estado de México y Municipios</w:t>
      </w:r>
      <w:r w:rsidR="0037219D">
        <w:rPr>
          <w:rFonts w:ascii="Palatino Linotype" w:eastAsia="MS Mincho" w:hAnsi="Palatino Linotype" w:cs="Times New Roman"/>
          <w:sz w:val="24"/>
          <w:szCs w:val="24"/>
          <w:lang w:val="es-ES" w:eastAsia="es-ES"/>
        </w:rPr>
        <w:t xml:space="preserve"> prevé en su artículo 5 dos definiciones </w:t>
      </w:r>
      <w:r>
        <w:rPr>
          <w:rFonts w:ascii="Palatino Linotype" w:eastAsia="MS Mincho" w:hAnsi="Palatino Linotype" w:cs="Times New Roman"/>
          <w:sz w:val="24"/>
          <w:szCs w:val="24"/>
          <w:lang w:val="es-ES" w:eastAsia="es-ES"/>
        </w:rPr>
        <w:t>fundamentales</w:t>
      </w:r>
      <w:r w:rsidR="0037219D">
        <w:rPr>
          <w:rFonts w:ascii="Palatino Linotype" w:eastAsia="MS Mincho" w:hAnsi="Palatino Linotype" w:cs="Times New Roman"/>
          <w:sz w:val="24"/>
          <w:szCs w:val="24"/>
          <w:lang w:val="es-ES" w:eastAsia="es-ES"/>
        </w:rPr>
        <w:t xml:space="preserve"> de conocer para el caso que nos ocupa, las cuales son: </w:t>
      </w:r>
    </w:p>
    <w:p w:rsidR="0037219D" w:rsidRPr="0037219D" w:rsidRDefault="0037219D" w:rsidP="0037219D">
      <w:pPr>
        <w:pStyle w:val="Prrafodelista"/>
        <w:spacing w:after="0" w:line="360" w:lineRule="auto"/>
        <w:ind w:left="0" w:right="49"/>
        <w:jc w:val="both"/>
        <w:rPr>
          <w:rFonts w:ascii="Palatino Linotype" w:eastAsia="MS Mincho" w:hAnsi="Palatino Linotype" w:cs="Times New Roman"/>
          <w:b/>
          <w:sz w:val="24"/>
          <w:szCs w:val="24"/>
          <w:lang w:val="es-ES" w:eastAsia="es-ES"/>
        </w:rPr>
      </w:pPr>
    </w:p>
    <w:p w:rsidR="0037219D" w:rsidRDefault="0037219D" w:rsidP="00581DCC">
      <w:pPr>
        <w:pStyle w:val="Prrafodelista"/>
        <w:numPr>
          <w:ilvl w:val="0"/>
          <w:numId w:val="16"/>
        </w:numPr>
        <w:spacing w:after="0" w:line="360" w:lineRule="auto"/>
        <w:ind w:left="567" w:right="425" w:firstLine="0"/>
        <w:jc w:val="both"/>
        <w:rPr>
          <w:rFonts w:ascii="Palatino Linotype" w:eastAsia="MS Mincho" w:hAnsi="Palatino Linotype" w:cs="Times New Roman"/>
          <w:sz w:val="24"/>
          <w:szCs w:val="24"/>
          <w:lang w:val="es-ES" w:eastAsia="es-ES"/>
        </w:rPr>
      </w:pPr>
      <w:r w:rsidRPr="0037219D">
        <w:rPr>
          <w:rFonts w:ascii="Palatino Linotype" w:eastAsia="MS Mincho" w:hAnsi="Palatino Linotype" w:cs="Times New Roman"/>
          <w:b/>
          <w:sz w:val="24"/>
          <w:szCs w:val="24"/>
          <w:lang w:val="es-ES" w:eastAsia="es-ES"/>
        </w:rPr>
        <w:t>Aportaciones:</w:t>
      </w:r>
      <w:r>
        <w:rPr>
          <w:rFonts w:ascii="Palatino Linotype" w:eastAsia="MS Mincho" w:hAnsi="Palatino Linotype" w:cs="Times New Roman"/>
          <w:sz w:val="24"/>
          <w:szCs w:val="24"/>
          <w:lang w:val="es-ES" w:eastAsia="es-ES"/>
        </w:rPr>
        <w:t xml:space="preserve"> las contribuciones de seguridad social a cargo de las Instituciones Públicas, en cumplimiento de las obligaciones que respecto de sus servidores públicos, les impone la presente Ley. </w:t>
      </w:r>
    </w:p>
    <w:p w:rsidR="0037219D" w:rsidRDefault="0037219D" w:rsidP="0037219D">
      <w:pPr>
        <w:pStyle w:val="Prrafodelista"/>
        <w:spacing w:after="0" w:line="360" w:lineRule="auto"/>
        <w:ind w:left="851" w:right="425"/>
        <w:jc w:val="both"/>
        <w:rPr>
          <w:rFonts w:ascii="Palatino Linotype" w:eastAsia="MS Mincho" w:hAnsi="Palatino Linotype" w:cs="Times New Roman"/>
          <w:sz w:val="24"/>
          <w:szCs w:val="24"/>
          <w:lang w:val="es-ES" w:eastAsia="es-ES"/>
        </w:rPr>
      </w:pPr>
    </w:p>
    <w:p w:rsidR="0037219D" w:rsidRDefault="0037219D" w:rsidP="00581DCC">
      <w:pPr>
        <w:pStyle w:val="Prrafodelista"/>
        <w:numPr>
          <w:ilvl w:val="0"/>
          <w:numId w:val="16"/>
        </w:numPr>
        <w:spacing w:after="0" w:line="360" w:lineRule="auto"/>
        <w:ind w:left="567" w:right="425" w:firstLine="0"/>
        <w:jc w:val="both"/>
        <w:rPr>
          <w:rFonts w:ascii="Palatino Linotype" w:eastAsia="MS Mincho" w:hAnsi="Palatino Linotype" w:cs="Times New Roman"/>
          <w:sz w:val="24"/>
          <w:szCs w:val="24"/>
          <w:lang w:val="es-ES" w:eastAsia="es-ES"/>
        </w:rPr>
      </w:pPr>
      <w:r w:rsidRPr="0037219D">
        <w:rPr>
          <w:rFonts w:ascii="Palatino Linotype" w:eastAsia="MS Mincho" w:hAnsi="Palatino Linotype" w:cs="Times New Roman"/>
          <w:b/>
          <w:sz w:val="24"/>
          <w:szCs w:val="24"/>
          <w:lang w:val="es-ES" w:eastAsia="es-ES"/>
        </w:rPr>
        <w:t>Cuotas:</w:t>
      </w:r>
      <w:r w:rsidRPr="0037219D">
        <w:rPr>
          <w:rFonts w:ascii="Palatino Linotype" w:eastAsia="MS Mincho" w:hAnsi="Palatino Linotype" w:cs="Times New Roman"/>
          <w:sz w:val="24"/>
          <w:szCs w:val="24"/>
          <w:lang w:val="es-ES" w:eastAsia="es-ES"/>
        </w:rPr>
        <w:t xml:space="preserve"> contribuciones de seguridad social a cargo de Servidores Públicos, equivalente a un porcentaje determinado de su sueldo sujeto a cotización, así como el que deben de cubrir los pensionados y pensionistas, conforme al monto diario de pensión asignado, según lo dispuesto en las disposiciones establecidas en la presente Ley. </w:t>
      </w:r>
    </w:p>
    <w:p w:rsidR="0037219D" w:rsidRPr="0037219D" w:rsidRDefault="0037219D" w:rsidP="0037219D">
      <w:pPr>
        <w:pStyle w:val="Prrafodelista"/>
        <w:rPr>
          <w:rFonts w:ascii="Palatino Linotype" w:eastAsia="MS Mincho" w:hAnsi="Palatino Linotype" w:cs="Times New Roman"/>
          <w:sz w:val="24"/>
          <w:szCs w:val="24"/>
          <w:lang w:val="es-ES" w:eastAsia="es-ES"/>
        </w:rPr>
      </w:pPr>
    </w:p>
    <w:p w:rsidR="0037219D" w:rsidRDefault="0037219D" w:rsidP="0037219D">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En el mismo orden de ideas, las obligaciones que las instituciones públicas en el ámbito de sus competencias</w:t>
      </w:r>
      <w:r w:rsidR="00390F92">
        <w:rPr>
          <w:rFonts w:ascii="Palatino Linotype" w:eastAsia="MS Mincho" w:hAnsi="Palatino Linotype" w:cs="Times New Roman"/>
          <w:sz w:val="24"/>
          <w:szCs w:val="24"/>
          <w:lang w:val="es-ES" w:eastAsia="es-ES"/>
        </w:rPr>
        <w:t xml:space="preserve"> que</w:t>
      </w:r>
      <w:r>
        <w:rPr>
          <w:rFonts w:ascii="Palatino Linotype" w:eastAsia="MS Mincho" w:hAnsi="Palatino Linotype" w:cs="Times New Roman"/>
          <w:sz w:val="24"/>
          <w:szCs w:val="24"/>
          <w:lang w:val="es-ES" w:eastAsia="es-ES"/>
        </w:rPr>
        <w:t xml:space="preserve"> tienen con el Instituto de Seguridad Social del Estado de México y Municipio se encuentran establecidas en el </w:t>
      </w:r>
      <w:r w:rsidR="00390F92">
        <w:rPr>
          <w:rFonts w:ascii="Palatino Linotype" w:eastAsia="MS Mincho" w:hAnsi="Palatino Linotype" w:cs="Times New Roman"/>
          <w:sz w:val="24"/>
          <w:szCs w:val="24"/>
          <w:lang w:val="es-ES" w:eastAsia="es-ES"/>
        </w:rPr>
        <w:t>artículo</w:t>
      </w:r>
      <w:r>
        <w:rPr>
          <w:rFonts w:ascii="Palatino Linotype" w:eastAsia="MS Mincho" w:hAnsi="Palatino Linotype" w:cs="Times New Roman"/>
          <w:sz w:val="24"/>
          <w:szCs w:val="24"/>
          <w:lang w:val="es-ES" w:eastAsia="es-ES"/>
        </w:rPr>
        <w:t xml:space="preserve"> 7 de la </w:t>
      </w:r>
      <w:r w:rsidR="00390F92">
        <w:rPr>
          <w:rFonts w:ascii="Palatino Linotype" w:eastAsia="MS Mincho" w:hAnsi="Palatino Linotype" w:cs="Times New Roman"/>
          <w:sz w:val="24"/>
          <w:szCs w:val="24"/>
          <w:lang w:val="es-ES" w:eastAsia="es-ES"/>
        </w:rPr>
        <w:t xml:space="preserve">ley </w:t>
      </w:r>
      <w:r w:rsidR="00135AAB">
        <w:rPr>
          <w:rFonts w:ascii="Palatino Linotype" w:eastAsia="MS Mincho" w:hAnsi="Palatino Linotype" w:cs="Times New Roman"/>
          <w:sz w:val="24"/>
          <w:szCs w:val="24"/>
          <w:lang w:val="es-ES" w:eastAsia="es-ES"/>
        </w:rPr>
        <w:t xml:space="preserve">en cita </w:t>
      </w:r>
      <w:r>
        <w:rPr>
          <w:rFonts w:ascii="Palatino Linotype" w:eastAsia="MS Mincho" w:hAnsi="Palatino Linotype" w:cs="Times New Roman"/>
          <w:sz w:val="24"/>
          <w:szCs w:val="24"/>
          <w:lang w:val="es-ES" w:eastAsia="es-ES"/>
        </w:rPr>
        <w:t xml:space="preserve">y son las siguientes:  </w:t>
      </w:r>
    </w:p>
    <w:p w:rsidR="0037219D" w:rsidRPr="00E5332B" w:rsidRDefault="0037219D" w:rsidP="0037219D">
      <w:pPr>
        <w:pStyle w:val="Prrafodelista"/>
        <w:rPr>
          <w:rFonts w:ascii="Palatino Linotype" w:eastAsia="MS Mincho" w:hAnsi="Palatino Linotype" w:cs="Times New Roman"/>
          <w:sz w:val="24"/>
          <w:szCs w:val="24"/>
          <w:lang w:val="es-ES" w:eastAsia="es-ES"/>
        </w:rPr>
      </w:pPr>
    </w:p>
    <w:p w:rsidR="0037219D" w:rsidRPr="00E5332B" w:rsidRDefault="0037219D" w:rsidP="0037219D">
      <w:pPr>
        <w:pStyle w:val="Prrafodelista"/>
        <w:spacing w:after="0" w:line="360" w:lineRule="auto"/>
        <w:ind w:left="567" w:right="567"/>
        <w:jc w:val="both"/>
        <w:rPr>
          <w:rFonts w:ascii="Palatino Linotype" w:eastAsia="MS Mincho" w:hAnsi="Palatino Linotype" w:cs="Times New Roman"/>
          <w:i/>
          <w:lang w:val="es-ES" w:eastAsia="es-ES"/>
        </w:rPr>
      </w:pPr>
      <w:r>
        <w:rPr>
          <w:rFonts w:ascii="Palatino Linotype" w:eastAsia="MS Mincho" w:hAnsi="Palatino Linotype" w:cs="Times New Roman"/>
          <w:i/>
          <w:lang w:val="es-ES" w:eastAsia="es-ES"/>
        </w:rPr>
        <w:t>“</w:t>
      </w:r>
      <w:r w:rsidRPr="00E5332B">
        <w:rPr>
          <w:rFonts w:ascii="Palatino Linotype" w:eastAsia="MS Mincho" w:hAnsi="Palatino Linotype" w:cs="Times New Roman"/>
          <w:i/>
          <w:lang w:val="es-ES" w:eastAsia="es-ES"/>
        </w:rPr>
        <w:t xml:space="preserve">Artículo 7. Las Instituciones Públicas deberán remitir al Instituto, en un plazo no mayor de cinco días hábiles a partir del ingreso al servicio del Servidor Público, el </w:t>
      </w:r>
      <w:r w:rsidRPr="00E5332B">
        <w:rPr>
          <w:rFonts w:ascii="Palatino Linotype" w:eastAsia="MS Mincho" w:hAnsi="Palatino Linotype" w:cs="Times New Roman"/>
          <w:i/>
          <w:lang w:val="es-ES" w:eastAsia="es-ES"/>
        </w:rPr>
        <w:lastRenderedPageBreak/>
        <w:t xml:space="preserve">movimiento de alta y datos necesarios para su registro y control, mediante los sistemas o programas informáticos que determine el propio Instituto.  </w:t>
      </w:r>
    </w:p>
    <w:p w:rsidR="0037219D" w:rsidRPr="00E5332B" w:rsidRDefault="0037219D" w:rsidP="0037219D">
      <w:pPr>
        <w:pStyle w:val="Prrafodelista"/>
        <w:spacing w:after="0" w:line="360" w:lineRule="auto"/>
        <w:ind w:left="567" w:right="567"/>
        <w:jc w:val="both"/>
        <w:rPr>
          <w:rFonts w:ascii="Palatino Linotype" w:eastAsia="MS Mincho" w:hAnsi="Palatino Linotype" w:cs="Times New Roman"/>
          <w:i/>
          <w:lang w:val="es-ES" w:eastAsia="es-ES"/>
        </w:rPr>
      </w:pPr>
      <w:r w:rsidRPr="00E5332B">
        <w:rPr>
          <w:rFonts w:ascii="Palatino Linotype" w:eastAsia="MS Mincho" w:hAnsi="Palatino Linotype" w:cs="Times New Roman"/>
          <w:i/>
          <w:lang w:val="es-ES" w:eastAsia="es-ES"/>
        </w:rPr>
        <w:t xml:space="preserve">Asimismo, las Instituciones Públicas deberán remitir al Instituto de manera quincenal en los términos que determine el reglamento respectivo, toda la información referente a movimientos de altas y bajas, modificaciones, sueldos, descuentos, nóminas, así como certificaciones e informes y en general, todo tipo de información necesaria para el otorgamiento de las prestaciones del Instituto.  </w:t>
      </w:r>
    </w:p>
    <w:p w:rsidR="0037219D" w:rsidRPr="00E5332B" w:rsidRDefault="0037219D" w:rsidP="0037219D">
      <w:pPr>
        <w:pStyle w:val="Prrafodelista"/>
        <w:spacing w:after="0" w:line="360" w:lineRule="auto"/>
        <w:ind w:left="567" w:right="567"/>
        <w:jc w:val="both"/>
        <w:rPr>
          <w:rFonts w:ascii="Palatino Linotype" w:eastAsia="MS Mincho" w:hAnsi="Palatino Linotype" w:cs="Times New Roman"/>
          <w:i/>
          <w:lang w:val="es-ES" w:eastAsia="es-ES"/>
        </w:rPr>
      </w:pPr>
      <w:r w:rsidRPr="00E5332B">
        <w:rPr>
          <w:rFonts w:ascii="Palatino Linotype" w:eastAsia="MS Mincho" w:hAnsi="Palatino Linotype" w:cs="Times New Roman"/>
          <w:i/>
          <w:lang w:val="es-ES" w:eastAsia="es-ES"/>
        </w:rPr>
        <w:t>Dicha información deberá enviarse a través de medios electrónicos, magnéticos, digitales, ópticos o de cualquier naturaleza, en los térm</w:t>
      </w:r>
      <w:r>
        <w:rPr>
          <w:rFonts w:ascii="Palatino Linotype" w:eastAsia="MS Mincho" w:hAnsi="Palatino Linotype" w:cs="Times New Roman"/>
          <w:i/>
          <w:lang w:val="es-ES" w:eastAsia="es-ES"/>
        </w:rPr>
        <w:t xml:space="preserve">inos que determine el Instituto”. </w:t>
      </w:r>
    </w:p>
    <w:p w:rsidR="0037219D" w:rsidRDefault="0037219D" w:rsidP="0037219D">
      <w:pPr>
        <w:spacing w:after="0" w:line="360" w:lineRule="auto"/>
        <w:ind w:right="49"/>
        <w:jc w:val="both"/>
        <w:rPr>
          <w:rFonts w:ascii="Palatino Linotype" w:eastAsia="MS Mincho" w:hAnsi="Palatino Linotype" w:cs="Times New Roman"/>
          <w:sz w:val="24"/>
          <w:szCs w:val="24"/>
          <w:lang w:val="es-ES" w:eastAsia="es-ES"/>
        </w:rPr>
      </w:pPr>
    </w:p>
    <w:p w:rsidR="00233A15" w:rsidRDefault="005C4F60" w:rsidP="00233A15">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 xml:space="preserve">Asimismo </w:t>
      </w:r>
      <w:r w:rsidR="00B94310">
        <w:rPr>
          <w:rFonts w:ascii="Palatino Linotype" w:eastAsia="MS Mincho" w:hAnsi="Palatino Linotype" w:cs="Times New Roman"/>
          <w:sz w:val="24"/>
          <w:szCs w:val="24"/>
          <w:lang w:val="es-ES" w:eastAsia="es-ES"/>
        </w:rPr>
        <w:t xml:space="preserve"> lo dispuesto por el artículo </w:t>
      </w:r>
      <w:r w:rsidR="00135AAB">
        <w:rPr>
          <w:rFonts w:ascii="Palatino Linotype" w:eastAsia="MS Mincho" w:hAnsi="Palatino Linotype" w:cs="Times New Roman"/>
          <w:sz w:val="24"/>
          <w:szCs w:val="24"/>
          <w:lang w:val="es-ES" w:eastAsia="es-ES"/>
        </w:rPr>
        <w:t>10 de la Ley en cit</w:t>
      </w:r>
      <w:r w:rsidR="00581DCC">
        <w:rPr>
          <w:rFonts w:ascii="Palatino Linotype" w:eastAsia="MS Mincho" w:hAnsi="Palatino Linotype" w:cs="Times New Roman"/>
          <w:sz w:val="24"/>
          <w:szCs w:val="24"/>
          <w:lang w:val="es-ES" w:eastAsia="es-ES"/>
        </w:rPr>
        <w:t>a, las instituciones públicas deberán informar al instituto sobre la forma en que se integran los sueldos de los Servidores Públicos cotizantes, sus aportaciones y cuotas, debiendo designar a quienes serán responsables del cumplimiento de e</w:t>
      </w:r>
      <w:r w:rsidR="00C71ED4">
        <w:rPr>
          <w:rFonts w:ascii="Palatino Linotype" w:eastAsia="MS Mincho" w:hAnsi="Palatino Linotype" w:cs="Times New Roman"/>
          <w:sz w:val="24"/>
          <w:szCs w:val="24"/>
          <w:lang w:val="es-ES" w:eastAsia="es-ES"/>
        </w:rPr>
        <w:t>s</w:t>
      </w:r>
      <w:r w:rsidR="00581DCC">
        <w:rPr>
          <w:rFonts w:ascii="Palatino Linotype" w:eastAsia="MS Mincho" w:hAnsi="Palatino Linotype" w:cs="Times New Roman"/>
          <w:sz w:val="24"/>
          <w:szCs w:val="24"/>
          <w:lang w:val="es-ES" w:eastAsia="es-ES"/>
        </w:rPr>
        <w:t xml:space="preserve">tas obligaciones. El mismo artículo señala que las Instituciones </w:t>
      </w:r>
      <w:r w:rsidR="00655976">
        <w:rPr>
          <w:rFonts w:ascii="Palatino Linotype" w:eastAsia="MS Mincho" w:hAnsi="Palatino Linotype" w:cs="Times New Roman"/>
          <w:sz w:val="24"/>
          <w:szCs w:val="24"/>
          <w:lang w:val="es-ES" w:eastAsia="es-ES"/>
        </w:rPr>
        <w:t>Públicas</w:t>
      </w:r>
      <w:r w:rsidR="00581DCC">
        <w:rPr>
          <w:rFonts w:ascii="Palatino Linotype" w:eastAsia="MS Mincho" w:hAnsi="Palatino Linotype" w:cs="Times New Roman"/>
          <w:sz w:val="24"/>
          <w:szCs w:val="24"/>
          <w:lang w:val="es-ES" w:eastAsia="es-ES"/>
        </w:rPr>
        <w:t xml:space="preserve"> tienen la obligación de permitir el acceso a sus instalaciones a fin de llevar a cabo las inspecciones que en cualquier momento practique el instituto, con la finalidad de verificar el cumplimiento de la declaración y pago de las cuotas y aportaciones y demás descuentos, asimismo el ISSEMYM tendrá</w:t>
      </w:r>
      <w:r w:rsidR="00655976">
        <w:rPr>
          <w:rFonts w:ascii="Palatino Linotype" w:eastAsia="MS Mincho" w:hAnsi="Palatino Linotype" w:cs="Times New Roman"/>
          <w:sz w:val="24"/>
          <w:szCs w:val="24"/>
          <w:lang w:val="es-ES" w:eastAsia="es-ES"/>
        </w:rPr>
        <w:t xml:space="preserve"> la facultad de determinar adeudos sanciones, así como el daño patrimonial si se da el caso. </w:t>
      </w:r>
    </w:p>
    <w:p w:rsidR="00233A15" w:rsidRDefault="00233A15" w:rsidP="00233A15">
      <w:pPr>
        <w:pStyle w:val="Prrafodelista"/>
        <w:spacing w:after="0" w:line="360" w:lineRule="auto"/>
        <w:ind w:left="0"/>
        <w:jc w:val="both"/>
        <w:rPr>
          <w:rFonts w:ascii="Palatino Linotype" w:eastAsia="MS Mincho" w:hAnsi="Palatino Linotype" w:cs="Times New Roman"/>
          <w:sz w:val="24"/>
          <w:szCs w:val="24"/>
          <w:lang w:val="es-ES" w:eastAsia="es-ES"/>
        </w:rPr>
      </w:pPr>
    </w:p>
    <w:p w:rsidR="00233A15" w:rsidRPr="00233A15" w:rsidRDefault="00233A15" w:rsidP="00233A15">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 w:eastAsia="es-ES"/>
        </w:rPr>
      </w:pPr>
      <w:r w:rsidRPr="00233A15">
        <w:rPr>
          <w:rFonts w:ascii="Palatino Linotype" w:eastAsia="MS Mincho" w:hAnsi="Palatino Linotype" w:cs="Times New Roman"/>
          <w:sz w:val="24"/>
          <w:szCs w:val="24"/>
          <w:lang w:val="es-ES" w:eastAsia="es-ES"/>
        </w:rPr>
        <w:t xml:space="preserve">Atento a lo anterior, </w:t>
      </w:r>
      <w:r>
        <w:rPr>
          <w:rFonts w:ascii="Palatino Linotype" w:eastAsia="MS Mincho" w:hAnsi="Palatino Linotype" w:cs="Times New Roman"/>
          <w:sz w:val="24"/>
          <w:szCs w:val="24"/>
          <w:lang w:val="es-ES" w:eastAsia="es-ES"/>
        </w:rPr>
        <w:t xml:space="preserve">la Ley del ISSEMYM, señala en su artículo 14 que el cálculo del monto de las cuotas y aportaciones se realiza sobre el sueldo mensual </w:t>
      </w:r>
      <w:r>
        <w:rPr>
          <w:rFonts w:ascii="Palatino Linotype" w:eastAsia="MS Mincho" w:hAnsi="Palatino Linotype" w:cs="Times New Roman"/>
          <w:sz w:val="24"/>
          <w:szCs w:val="24"/>
          <w:lang w:val="es-ES" w:eastAsia="es-ES"/>
        </w:rPr>
        <w:lastRenderedPageBreak/>
        <w:t xml:space="preserve">sujeto a cotización de los Servidores Públicos, asimismo en su </w:t>
      </w:r>
      <w:r w:rsidRPr="00233A15">
        <w:rPr>
          <w:rFonts w:ascii="Palatino Linotype" w:eastAsia="MS Mincho" w:hAnsi="Palatino Linotype" w:cs="Times New Roman"/>
          <w:sz w:val="24"/>
          <w:szCs w:val="24"/>
          <w:lang w:val="es-ES" w:eastAsia="es-ES"/>
        </w:rPr>
        <w:t xml:space="preserve">artículo 19 </w:t>
      </w:r>
      <w:r>
        <w:rPr>
          <w:rFonts w:ascii="Palatino Linotype" w:eastAsia="MS Mincho" w:hAnsi="Palatino Linotype" w:cs="Times New Roman"/>
          <w:sz w:val="24"/>
          <w:szCs w:val="24"/>
          <w:lang w:val="es-ES" w:eastAsia="es-ES"/>
        </w:rPr>
        <w:t>se señala que:</w:t>
      </w:r>
    </w:p>
    <w:p w:rsidR="00233A15" w:rsidRDefault="00233A15" w:rsidP="001F2E00">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1F2E00" w:rsidRPr="00135AAB" w:rsidRDefault="00233A15" w:rsidP="00233A15">
      <w:pPr>
        <w:pStyle w:val="Prrafodelista"/>
        <w:spacing w:after="0" w:line="360" w:lineRule="auto"/>
        <w:ind w:left="567" w:right="567"/>
        <w:jc w:val="both"/>
        <w:rPr>
          <w:rFonts w:ascii="Palatino Linotype" w:eastAsia="MS Mincho" w:hAnsi="Palatino Linotype" w:cs="Times New Roman"/>
          <w:i/>
          <w:lang w:val="es-ES" w:eastAsia="es-ES"/>
        </w:rPr>
      </w:pPr>
      <w:r w:rsidRPr="00135AAB">
        <w:rPr>
          <w:rFonts w:ascii="Palatino Linotype" w:eastAsia="MS Mincho" w:hAnsi="Palatino Linotype" w:cs="Times New Roman"/>
          <w:i/>
          <w:lang w:val="es-ES" w:eastAsia="es-ES"/>
        </w:rPr>
        <w:t>“Artículo 19.</w:t>
      </w:r>
      <w:r w:rsidR="001F2E00" w:rsidRPr="00135AAB">
        <w:rPr>
          <w:rFonts w:ascii="Palatino Linotype" w:hAnsi="Palatino Linotype"/>
          <w:i/>
        </w:rPr>
        <w:t xml:space="preserve"> Las </w:t>
      </w:r>
      <w:r w:rsidR="001F2E00" w:rsidRPr="00135AAB">
        <w:rPr>
          <w:rFonts w:ascii="Palatino Linotype" w:hAnsi="Palatino Linotype"/>
          <w:b/>
          <w:i/>
          <w:u w:val="single"/>
        </w:rPr>
        <w:t>Instituciones Públicas están obligadas a declarar y pagar quincenalmente al Instituto el importe de las cuotas retenidas a los Servidores Públicos</w:t>
      </w:r>
      <w:r w:rsidR="001F2E00" w:rsidRPr="00135AAB">
        <w:rPr>
          <w:rFonts w:ascii="Palatino Linotype" w:hAnsi="Palatino Linotype"/>
          <w:b/>
          <w:i/>
        </w:rPr>
        <w:t xml:space="preserve">, </w:t>
      </w:r>
      <w:r w:rsidR="001F2E00" w:rsidRPr="00135AAB">
        <w:rPr>
          <w:rFonts w:ascii="Palatino Linotype" w:hAnsi="Palatino Linotype"/>
          <w:b/>
          <w:i/>
          <w:u w:val="single"/>
        </w:rPr>
        <w:t>así como el de las aportaciones y otras retenciones que les correspondan del periodo inmediato anterior</w:t>
      </w:r>
      <w:r w:rsidR="001F2E00" w:rsidRPr="00135AAB">
        <w:rPr>
          <w:rFonts w:ascii="Palatino Linotype" w:hAnsi="Palatino Linotype"/>
          <w:b/>
          <w:i/>
        </w:rPr>
        <w:t xml:space="preserve">, </w:t>
      </w:r>
      <w:r w:rsidR="001F2E00" w:rsidRPr="00135AAB">
        <w:rPr>
          <w:rFonts w:ascii="Palatino Linotype" w:hAnsi="Palatino Linotype"/>
          <w:i/>
        </w:rPr>
        <w:t>dentro de los primeros cinco días hábiles del mes siguiente al de la fecha en que se cause la obligación; en el mismo plazo, deberán enterar y cubrir el importe de las retenciones por descuentos de préstamos u otros conceptos que ordene el propio Instituto, en cumplimiento de lo dispuesto por esta Ley. En tanto las Instituciones Públicas no presenten al Instituto el aviso de baja del Servidor Público, subsistirá la obligación de cubrir un monto equivalente a las cuotas, aportaciones y descuentos respectivos por el periodo correspondiente, el cual quedará a favor del Instituto</w:t>
      </w:r>
    </w:p>
    <w:p w:rsidR="001F2E00" w:rsidRPr="004C1002" w:rsidRDefault="001F2E00" w:rsidP="001F2E00">
      <w:pPr>
        <w:spacing w:after="0" w:line="360" w:lineRule="auto"/>
        <w:ind w:right="49"/>
        <w:jc w:val="both"/>
        <w:rPr>
          <w:rFonts w:ascii="Palatino Linotype" w:eastAsia="MS Mincho" w:hAnsi="Palatino Linotype" w:cs="Times New Roman"/>
          <w:b/>
          <w:sz w:val="24"/>
          <w:szCs w:val="24"/>
          <w:lang w:val="es-ES" w:eastAsia="es-ES"/>
        </w:rPr>
      </w:pPr>
    </w:p>
    <w:p w:rsidR="004C1002" w:rsidRDefault="004C1002" w:rsidP="004C1002">
      <w:pPr>
        <w:pStyle w:val="Prrafodelista"/>
        <w:numPr>
          <w:ilvl w:val="0"/>
          <w:numId w:val="18"/>
        </w:numPr>
        <w:spacing w:after="0" w:line="360" w:lineRule="auto"/>
        <w:ind w:left="709" w:right="49"/>
        <w:jc w:val="both"/>
        <w:rPr>
          <w:rFonts w:ascii="Palatino Linotype" w:eastAsia="MS Mincho" w:hAnsi="Palatino Linotype" w:cs="Times New Roman"/>
          <w:b/>
          <w:sz w:val="24"/>
          <w:szCs w:val="24"/>
          <w:lang w:val="es-ES" w:eastAsia="es-ES"/>
        </w:rPr>
      </w:pPr>
      <w:r w:rsidRPr="004C1002">
        <w:rPr>
          <w:rFonts w:ascii="Palatino Linotype" w:eastAsia="MS Mincho" w:hAnsi="Palatino Linotype" w:cs="Times New Roman"/>
          <w:b/>
          <w:sz w:val="24"/>
          <w:szCs w:val="24"/>
          <w:lang w:val="es-ES" w:eastAsia="es-ES"/>
        </w:rPr>
        <w:t>De los instrumentos del ISSEMYM pa</w:t>
      </w:r>
      <w:r>
        <w:rPr>
          <w:rFonts w:ascii="Palatino Linotype" w:eastAsia="MS Mincho" w:hAnsi="Palatino Linotype" w:cs="Times New Roman"/>
          <w:b/>
          <w:sz w:val="24"/>
          <w:szCs w:val="24"/>
          <w:lang w:val="es-ES" w:eastAsia="es-ES"/>
        </w:rPr>
        <w:t xml:space="preserve">ra </w:t>
      </w:r>
      <w:r w:rsidR="00205BAD">
        <w:rPr>
          <w:rFonts w:ascii="Palatino Linotype" w:eastAsia="MS Mincho" w:hAnsi="Palatino Linotype" w:cs="Times New Roman"/>
          <w:b/>
          <w:sz w:val="24"/>
          <w:szCs w:val="24"/>
          <w:lang w:val="es-ES" w:eastAsia="es-ES"/>
        </w:rPr>
        <w:t xml:space="preserve">exigir el cumplimiento de las obligaciones. </w:t>
      </w:r>
    </w:p>
    <w:p w:rsidR="00205BAD" w:rsidRPr="004C1002" w:rsidRDefault="00205BAD" w:rsidP="00205BAD">
      <w:pPr>
        <w:pStyle w:val="Prrafodelista"/>
        <w:spacing w:after="0" w:line="360" w:lineRule="auto"/>
        <w:ind w:left="709" w:right="49"/>
        <w:jc w:val="both"/>
        <w:rPr>
          <w:rFonts w:ascii="Palatino Linotype" w:eastAsia="MS Mincho" w:hAnsi="Palatino Linotype" w:cs="Times New Roman"/>
          <w:b/>
          <w:sz w:val="24"/>
          <w:szCs w:val="24"/>
          <w:lang w:val="es-ES" w:eastAsia="es-ES"/>
        </w:rPr>
      </w:pPr>
    </w:p>
    <w:p w:rsidR="001B3A28" w:rsidRDefault="00233A15" w:rsidP="00B07E95">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 xml:space="preserve">Por otro lado, </w:t>
      </w:r>
      <w:r w:rsidR="00456131">
        <w:rPr>
          <w:rFonts w:ascii="Palatino Linotype" w:eastAsia="MS Mincho" w:hAnsi="Palatino Linotype" w:cs="Times New Roman"/>
          <w:sz w:val="24"/>
          <w:szCs w:val="24"/>
          <w:lang w:val="es-ES" w:eastAsia="es-ES"/>
        </w:rPr>
        <w:t xml:space="preserve">la Ley del ISSEMYM establece instrumentos en donde se prevén las facultades que posee el Instituto para poder realizar el cobro de las atribuciones que por obligación corresponde a las Instrucciones Públicas  y lo cual se prevé en su artículo 21 que a la letra señala que:  </w:t>
      </w:r>
      <w:r w:rsidR="001B3A28">
        <w:rPr>
          <w:rFonts w:ascii="Palatino Linotype" w:eastAsia="MS Mincho" w:hAnsi="Palatino Linotype" w:cs="Times New Roman"/>
          <w:sz w:val="24"/>
          <w:szCs w:val="24"/>
          <w:lang w:val="es-ES" w:eastAsia="es-ES"/>
        </w:rPr>
        <w:t xml:space="preserve"> </w:t>
      </w:r>
    </w:p>
    <w:p w:rsidR="001B3A28" w:rsidRDefault="001B3A28" w:rsidP="001B3A28">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56131" w:rsidRPr="0027789C" w:rsidRDefault="00456131" w:rsidP="00456131">
      <w:pPr>
        <w:pStyle w:val="Prrafodelista"/>
        <w:spacing w:after="0" w:line="360" w:lineRule="auto"/>
        <w:ind w:left="567" w:right="567"/>
        <w:jc w:val="both"/>
        <w:rPr>
          <w:rFonts w:ascii="Palatino Linotype" w:hAnsi="Palatino Linotype"/>
          <w:i/>
        </w:rPr>
      </w:pPr>
      <w:r w:rsidRPr="0027789C">
        <w:rPr>
          <w:rFonts w:ascii="Palatino Linotype" w:hAnsi="Palatino Linotype"/>
          <w:i/>
        </w:rPr>
        <w:lastRenderedPageBreak/>
        <w:t>“Artículo 21</w:t>
      </w:r>
      <w:r w:rsidRPr="0027789C">
        <w:rPr>
          <w:rFonts w:ascii="Palatino Linotype" w:hAnsi="Palatino Linotype"/>
          <w:i/>
          <w:u w:val="single"/>
        </w:rPr>
        <w:t xml:space="preserve">. </w:t>
      </w:r>
      <w:r w:rsidRPr="0027789C">
        <w:rPr>
          <w:rFonts w:ascii="Palatino Linotype" w:hAnsi="Palatino Linotype"/>
          <w:b/>
          <w:i/>
          <w:u w:val="single"/>
        </w:rPr>
        <w:t>Las aportaciones de las Instituciones Públicas tienen el carácter de obligatorias</w:t>
      </w:r>
      <w:r w:rsidRPr="0027789C">
        <w:rPr>
          <w:rFonts w:ascii="Palatino Linotype" w:hAnsi="Palatino Linotype"/>
          <w:b/>
          <w:i/>
        </w:rPr>
        <w:t>, por lo que deberán consignarse en la partida o partidas que correspondan en sus respectivos presupuestos de egresos</w:t>
      </w:r>
      <w:r w:rsidRPr="0027789C">
        <w:rPr>
          <w:rFonts w:ascii="Palatino Linotype" w:hAnsi="Palatino Linotype"/>
          <w:i/>
        </w:rPr>
        <w:t xml:space="preserve">. En caso de omisión, las Instituciones Públicas deberán realizar las transferencias presupuestales que correspondan, para cumplir con su obligación. </w:t>
      </w:r>
    </w:p>
    <w:p w:rsidR="000F4901" w:rsidRPr="0027789C" w:rsidRDefault="00456131" w:rsidP="00456131">
      <w:pPr>
        <w:pStyle w:val="Prrafodelista"/>
        <w:spacing w:after="0" w:line="360" w:lineRule="auto"/>
        <w:ind w:left="567" w:right="567"/>
        <w:jc w:val="both"/>
        <w:rPr>
          <w:rFonts w:ascii="Palatino Linotype" w:hAnsi="Palatino Linotype"/>
          <w:i/>
        </w:rPr>
      </w:pPr>
      <w:r w:rsidRPr="0027789C">
        <w:rPr>
          <w:rFonts w:ascii="Palatino Linotype" w:hAnsi="Palatino Linotype"/>
          <w:i/>
        </w:rPr>
        <w:t>Cuando las Instituciones Públicas sujetas al régimen de esta Ley no enteren las cuotas, aportaciones y descuentos dentro del plazo establecido, deberán cubrir a partir de la fecha en que éstas se hicieren exigibles en favor del Instituto o, tratándose del seguro de retiro, cesantía en edad avanzada y vejez, en favor del Servidor Público, intereses moratorios calculados con base en la tasa de referencia. Asimismo, deberán cubrir la actualización, los recargos y en su caso multas, de dichas cuotas, aportaciones y descuentos en los términos establecidos en el Código Financiero del Estado de México y Municipios.</w:t>
      </w:r>
    </w:p>
    <w:p w:rsidR="0027789C" w:rsidRDefault="0027789C" w:rsidP="00456131">
      <w:pPr>
        <w:pStyle w:val="Prrafodelista"/>
        <w:spacing w:after="0" w:line="360" w:lineRule="auto"/>
        <w:ind w:left="567" w:right="567"/>
        <w:jc w:val="both"/>
        <w:rPr>
          <w:rFonts w:ascii="Palatino Linotype" w:hAnsi="Palatino Linotype"/>
          <w:b/>
          <w:i/>
        </w:rPr>
      </w:pPr>
    </w:p>
    <w:p w:rsidR="000F4901" w:rsidRPr="0027789C" w:rsidRDefault="00456131" w:rsidP="00456131">
      <w:pPr>
        <w:pStyle w:val="Prrafodelista"/>
        <w:spacing w:after="0" w:line="360" w:lineRule="auto"/>
        <w:ind w:left="567" w:right="567"/>
        <w:jc w:val="both"/>
        <w:rPr>
          <w:rFonts w:ascii="Palatino Linotype" w:hAnsi="Palatino Linotype"/>
          <w:i/>
        </w:rPr>
      </w:pPr>
      <w:r w:rsidRPr="0027789C">
        <w:rPr>
          <w:rFonts w:ascii="Palatino Linotype" w:hAnsi="Palatino Linotype"/>
          <w:b/>
          <w:i/>
        </w:rPr>
        <w:t>El Instituto tiene atribuciones para determinar los adeudos a su favor y las bases de su liquidación, así como para fijarlos en cantidad líquida, notificarlos a las Instituciones Públicas y solicitar a la Secretaría de Finanzas se deduzcan del presupuesto de aquéllas o, en su caso, de las participaciones Estatales o Federales de las mismas, cuando lo establezca la Ley o así se haya convenido.</w:t>
      </w:r>
      <w:r w:rsidRPr="0027789C">
        <w:rPr>
          <w:rFonts w:ascii="Palatino Linotype" w:hAnsi="Palatino Linotype"/>
          <w:i/>
        </w:rPr>
        <w:t xml:space="preserve"> </w:t>
      </w:r>
    </w:p>
    <w:p w:rsidR="0027789C" w:rsidRDefault="0027789C" w:rsidP="00456131">
      <w:pPr>
        <w:pStyle w:val="Prrafodelista"/>
        <w:spacing w:after="0" w:line="360" w:lineRule="auto"/>
        <w:ind w:left="567" w:right="567"/>
        <w:jc w:val="both"/>
        <w:rPr>
          <w:rFonts w:ascii="Palatino Linotype" w:hAnsi="Palatino Linotype"/>
          <w:i/>
        </w:rPr>
      </w:pPr>
    </w:p>
    <w:p w:rsidR="000F4901" w:rsidRPr="0027789C" w:rsidRDefault="00456131" w:rsidP="00456131">
      <w:pPr>
        <w:pStyle w:val="Prrafodelista"/>
        <w:spacing w:after="0" w:line="360" w:lineRule="auto"/>
        <w:ind w:left="567" w:right="567"/>
        <w:jc w:val="both"/>
        <w:rPr>
          <w:rFonts w:ascii="Palatino Linotype" w:hAnsi="Palatino Linotype"/>
          <w:i/>
        </w:rPr>
      </w:pPr>
      <w:r w:rsidRPr="0027789C">
        <w:rPr>
          <w:rFonts w:ascii="Palatino Linotype" w:hAnsi="Palatino Linotype"/>
          <w:i/>
        </w:rPr>
        <w:t xml:space="preserve">El Instituto notificará a las Instituciones Públicas las omisiones y diferencias que resultaren con motivo de los pagos efectuados, el Instituto las notificará a las Instituciones Públicas, debiendo éstas efectuar la aclaración o el pago, dentro de los diez días hábiles siguientes a la fecha de la notificación, en caso contrario, deberán pagar la actualización, intereses, recargos y multas en los términos establecidos en el Código Financiero del Estado de México y Municipios. </w:t>
      </w:r>
    </w:p>
    <w:p w:rsidR="0027789C" w:rsidRDefault="0027789C" w:rsidP="00456131">
      <w:pPr>
        <w:pStyle w:val="Prrafodelista"/>
        <w:spacing w:after="0" w:line="360" w:lineRule="auto"/>
        <w:ind w:left="567" w:right="567"/>
        <w:jc w:val="both"/>
        <w:rPr>
          <w:rFonts w:ascii="Palatino Linotype" w:hAnsi="Palatino Linotype"/>
          <w:i/>
        </w:rPr>
      </w:pPr>
    </w:p>
    <w:p w:rsidR="000F4901" w:rsidRPr="0027789C" w:rsidRDefault="00456131" w:rsidP="00456131">
      <w:pPr>
        <w:pStyle w:val="Prrafodelista"/>
        <w:spacing w:after="0" w:line="360" w:lineRule="auto"/>
        <w:ind w:left="567" w:right="567"/>
        <w:jc w:val="both"/>
        <w:rPr>
          <w:rFonts w:ascii="Palatino Linotype" w:hAnsi="Palatino Linotype"/>
          <w:b/>
          <w:i/>
        </w:rPr>
      </w:pPr>
      <w:r w:rsidRPr="0027789C">
        <w:rPr>
          <w:rFonts w:ascii="Palatino Linotype" w:hAnsi="Palatino Linotype"/>
          <w:i/>
        </w:rPr>
        <w:t xml:space="preserve">Posteriormente, </w:t>
      </w:r>
      <w:r w:rsidRPr="0027789C">
        <w:rPr>
          <w:rFonts w:ascii="Palatino Linotype" w:hAnsi="Palatino Linotype"/>
          <w:b/>
          <w:i/>
        </w:rPr>
        <w:t xml:space="preserve">el Instituto </w:t>
      </w:r>
      <w:r w:rsidRPr="0027789C">
        <w:rPr>
          <w:rFonts w:ascii="Palatino Linotype" w:hAnsi="Palatino Linotype"/>
          <w:b/>
          <w:i/>
          <w:u w:val="single"/>
        </w:rPr>
        <w:t>requerirá a la Secretaría de Finanzas del Estado</w:t>
      </w:r>
      <w:r w:rsidRPr="0027789C">
        <w:rPr>
          <w:rFonts w:ascii="Palatino Linotype" w:hAnsi="Palatino Linotype"/>
          <w:b/>
          <w:i/>
        </w:rPr>
        <w:t xml:space="preserve">, los pagos correspondientes por los adeudos que tengan las Instituciones Públicas, con cargo al presupuesto o a las participaciones o transferencias, estatales o federales, de dichas Instituciones. La señalada Secretaría deberá comprobar la procedencia del adeudo y en su caso, hacer el entero correspondiente al Instituto en un plazo no mayor de cinco días hábiles. </w:t>
      </w:r>
    </w:p>
    <w:p w:rsidR="000F4901" w:rsidRPr="0027789C" w:rsidRDefault="00456131" w:rsidP="00456131">
      <w:pPr>
        <w:pStyle w:val="Prrafodelista"/>
        <w:spacing w:after="0" w:line="360" w:lineRule="auto"/>
        <w:ind w:left="567" w:right="567"/>
        <w:jc w:val="both"/>
        <w:rPr>
          <w:rFonts w:ascii="Palatino Linotype" w:hAnsi="Palatino Linotype"/>
          <w:i/>
          <w:u w:val="single"/>
        </w:rPr>
      </w:pPr>
      <w:r w:rsidRPr="0027789C">
        <w:rPr>
          <w:rFonts w:ascii="Palatino Linotype" w:hAnsi="Palatino Linotype"/>
          <w:b/>
          <w:i/>
          <w:u w:val="single"/>
        </w:rPr>
        <w:t>En ningún caso el Instituto autorizará la condonación de adeudos por concepto de Cuotas, Aportaciones, Descuentos, Copago, actualizaciones, intereses moratorios, recargos y multas</w:t>
      </w:r>
      <w:r w:rsidRPr="0027789C">
        <w:rPr>
          <w:rFonts w:ascii="Palatino Linotype" w:hAnsi="Palatino Linotype"/>
          <w:i/>
          <w:u w:val="single"/>
        </w:rPr>
        <w:t xml:space="preserve">. </w:t>
      </w:r>
    </w:p>
    <w:p w:rsidR="0027789C" w:rsidRDefault="0027789C" w:rsidP="00456131">
      <w:pPr>
        <w:pStyle w:val="Prrafodelista"/>
        <w:spacing w:after="0" w:line="360" w:lineRule="auto"/>
        <w:ind w:left="567" w:right="567"/>
        <w:jc w:val="both"/>
        <w:rPr>
          <w:rFonts w:ascii="Palatino Linotype" w:hAnsi="Palatino Linotype"/>
          <w:i/>
        </w:rPr>
      </w:pPr>
    </w:p>
    <w:p w:rsidR="000F4901" w:rsidRPr="0027789C" w:rsidRDefault="00456131" w:rsidP="00456131">
      <w:pPr>
        <w:pStyle w:val="Prrafodelista"/>
        <w:spacing w:after="0" w:line="360" w:lineRule="auto"/>
        <w:ind w:left="567" w:right="567"/>
        <w:jc w:val="both"/>
        <w:rPr>
          <w:rFonts w:ascii="Palatino Linotype" w:hAnsi="Palatino Linotype"/>
          <w:i/>
        </w:rPr>
      </w:pPr>
      <w:r w:rsidRPr="0027789C">
        <w:rPr>
          <w:rFonts w:ascii="Palatino Linotype" w:hAnsi="Palatino Linotype"/>
          <w:i/>
        </w:rPr>
        <w:t xml:space="preserve">En caso de que las Instituciones Públicas realicen el pago de cuotas, aportaciones o descuentos en exceso sólo podrán compensar el monto del exceso contra el monto de la siguiente causación. </w:t>
      </w:r>
    </w:p>
    <w:p w:rsidR="0027789C" w:rsidRDefault="0027789C" w:rsidP="00456131">
      <w:pPr>
        <w:pStyle w:val="Prrafodelista"/>
        <w:spacing w:after="0" w:line="360" w:lineRule="auto"/>
        <w:ind w:left="567" w:right="567"/>
        <w:jc w:val="both"/>
        <w:rPr>
          <w:rFonts w:ascii="Palatino Linotype" w:hAnsi="Palatino Linotype"/>
          <w:i/>
        </w:rPr>
      </w:pPr>
    </w:p>
    <w:p w:rsidR="000F4901" w:rsidRPr="0027789C" w:rsidRDefault="00456131" w:rsidP="00456131">
      <w:pPr>
        <w:pStyle w:val="Prrafodelista"/>
        <w:spacing w:after="0" w:line="360" w:lineRule="auto"/>
        <w:ind w:left="567" w:right="567"/>
        <w:jc w:val="both"/>
        <w:rPr>
          <w:rFonts w:ascii="Palatino Linotype" w:hAnsi="Palatino Linotype"/>
          <w:i/>
        </w:rPr>
      </w:pPr>
      <w:r w:rsidRPr="0027789C">
        <w:rPr>
          <w:rFonts w:ascii="Palatino Linotype" w:hAnsi="Palatino Linotype"/>
          <w:i/>
        </w:rPr>
        <w:t xml:space="preserve">Cuando las Instituciones Públicas realicen el pago de cuotas, aportaciones y/o descuentos sin justificación legal, la devolución se sujetará al procedimiento que determine el Instituto. </w:t>
      </w:r>
    </w:p>
    <w:p w:rsidR="0027789C" w:rsidRDefault="0027789C" w:rsidP="00456131">
      <w:pPr>
        <w:pStyle w:val="Prrafodelista"/>
        <w:spacing w:after="0" w:line="360" w:lineRule="auto"/>
        <w:ind w:left="567" w:right="567"/>
        <w:jc w:val="both"/>
        <w:rPr>
          <w:rFonts w:ascii="Palatino Linotype" w:hAnsi="Palatino Linotype"/>
          <w:i/>
        </w:rPr>
      </w:pPr>
    </w:p>
    <w:p w:rsidR="001B3A28" w:rsidRPr="0027789C" w:rsidRDefault="00456131" w:rsidP="00456131">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27789C">
        <w:rPr>
          <w:rFonts w:ascii="Palatino Linotype" w:hAnsi="Palatino Linotype"/>
          <w:i/>
        </w:rPr>
        <w:t>Tratándose de las cuotas y aportaciones del seguro de retiro, cesantía en edad avanzada y vejez, la devolución estará sujeta al procedimiento que determinen las disposiciones legales aplicables, y en ningún caso procederá la devolución de actualizaciones o cualquier accesorio diferente al monto nominal de las cantidades pagadas sin justificación legal.</w:t>
      </w:r>
    </w:p>
    <w:p w:rsidR="001F2E00" w:rsidRDefault="001F2E00" w:rsidP="001F2E00">
      <w:pPr>
        <w:pStyle w:val="Prrafodelista"/>
        <w:spacing w:after="0" w:line="360" w:lineRule="auto"/>
        <w:ind w:left="567" w:right="567"/>
        <w:jc w:val="both"/>
      </w:pPr>
    </w:p>
    <w:p w:rsidR="001F2E00" w:rsidRDefault="00FF1477" w:rsidP="00B334C9">
      <w:pPr>
        <w:pStyle w:val="Prrafodelista"/>
        <w:numPr>
          <w:ilvl w:val="0"/>
          <w:numId w:val="2"/>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w:t>
      </w:r>
      <w:r w:rsidR="00B334C9">
        <w:rPr>
          <w:rFonts w:ascii="Palatino Linotype" w:hAnsi="Palatino Linotype"/>
          <w:sz w:val="24"/>
          <w:szCs w:val="24"/>
        </w:rPr>
        <w:t xml:space="preserve">s indispensable estimar el momento del acto </w:t>
      </w:r>
      <w:r w:rsidR="004D3B01">
        <w:rPr>
          <w:rFonts w:ascii="Palatino Linotype" w:hAnsi="Palatino Linotype"/>
          <w:sz w:val="24"/>
          <w:szCs w:val="24"/>
        </w:rPr>
        <w:t xml:space="preserve">jurídico </w:t>
      </w:r>
      <w:r w:rsidR="00B334C9">
        <w:rPr>
          <w:rFonts w:ascii="Palatino Linotype" w:hAnsi="Palatino Linotype"/>
          <w:sz w:val="24"/>
          <w:szCs w:val="24"/>
        </w:rPr>
        <w:t xml:space="preserve">celebrado, </w:t>
      </w:r>
      <w:r w:rsidR="004D3B01">
        <w:rPr>
          <w:rFonts w:ascii="Palatino Linotype" w:hAnsi="Palatino Linotype"/>
          <w:sz w:val="24"/>
          <w:szCs w:val="24"/>
        </w:rPr>
        <w:t xml:space="preserve">es decir la circunstancia jurídica </w:t>
      </w:r>
      <w:r w:rsidR="00B334C9">
        <w:rPr>
          <w:rFonts w:ascii="Palatino Linotype" w:hAnsi="Palatino Linotype"/>
          <w:sz w:val="24"/>
          <w:szCs w:val="24"/>
        </w:rPr>
        <w:t xml:space="preserve">a través </w:t>
      </w:r>
      <w:r w:rsidR="004D3B01">
        <w:rPr>
          <w:rFonts w:ascii="Palatino Linotype" w:hAnsi="Palatino Linotype"/>
          <w:sz w:val="24"/>
          <w:szCs w:val="24"/>
        </w:rPr>
        <w:t>de la cual</w:t>
      </w:r>
      <w:r w:rsidR="00B334C9">
        <w:rPr>
          <w:rFonts w:ascii="Palatino Linotype" w:hAnsi="Palatino Linotype"/>
          <w:sz w:val="24"/>
          <w:szCs w:val="24"/>
        </w:rPr>
        <w:t xml:space="preserve"> se celebraron los convenios para </w:t>
      </w:r>
      <w:r w:rsidR="00B334C9" w:rsidRPr="0027789C">
        <w:rPr>
          <w:rFonts w:ascii="Palatino Linotype" w:hAnsi="Palatino Linotype"/>
          <w:sz w:val="24"/>
          <w:szCs w:val="24"/>
          <w:u w:val="single"/>
        </w:rPr>
        <w:t>reestructuración de deuda e importes pendientes de pago</w:t>
      </w:r>
      <w:r w:rsidR="00B334C9">
        <w:rPr>
          <w:rFonts w:ascii="Palatino Linotype" w:hAnsi="Palatino Linotype"/>
          <w:sz w:val="24"/>
          <w:szCs w:val="24"/>
        </w:rPr>
        <w:t xml:space="preserve"> entre el ISSEMYM con los municipios, sistemas municipales DIF y organismos auxiliares estatales</w:t>
      </w:r>
      <w:r w:rsidR="004D3B01">
        <w:rPr>
          <w:rFonts w:ascii="Palatino Linotype" w:hAnsi="Palatino Linotype"/>
          <w:sz w:val="24"/>
          <w:szCs w:val="24"/>
        </w:rPr>
        <w:t xml:space="preserve">. </w:t>
      </w:r>
    </w:p>
    <w:p w:rsidR="004D3B01" w:rsidRDefault="004D3B01" w:rsidP="004D3B01">
      <w:pPr>
        <w:pStyle w:val="Prrafodelista"/>
        <w:spacing w:after="0" w:line="360" w:lineRule="auto"/>
        <w:ind w:left="0"/>
        <w:jc w:val="both"/>
        <w:rPr>
          <w:rFonts w:ascii="Palatino Linotype" w:hAnsi="Palatino Linotype"/>
          <w:sz w:val="24"/>
          <w:szCs w:val="24"/>
        </w:rPr>
      </w:pPr>
    </w:p>
    <w:p w:rsidR="00C9708F" w:rsidRPr="0099284A" w:rsidRDefault="004D3B01" w:rsidP="0099284A">
      <w:pPr>
        <w:pStyle w:val="Prrafodelista"/>
        <w:numPr>
          <w:ilvl w:val="0"/>
          <w:numId w:val="2"/>
        </w:numPr>
        <w:spacing w:after="0" w:line="360" w:lineRule="auto"/>
        <w:ind w:left="0" w:firstLine="0"/>
        <w:jc w:val="both"/>
        <w:rPr>
          <w:rFonts w:ascii="Palatino Linotype" w:hAnsi="Palatino Linotype"/>
          <w:sz w:val="24"/>
          <w:szCs w:val="24"/>
        </w:rPr>
      </w:pPr>
      <w:r>
        <w:rPr>
          <w:rFonts w:ascii="Palatino Linotype" w:hAnsi="Palatino Linotype"/>
          <w:sz w:val="24"/>
          <w:szCs w:val="24"/>
        </w:rPr>
        <w:t>Atendiendo a las leyes de la lógica y la razón, se colige que los actos jurídicos fueron celebrados con fundamento en la Ley de Seguridad Social para los Servidores Públicos del Estado de M</w:t>
      </w:r>
      <w:r w:rsidR="00C9708F">
        <w:rPr>
          <w:rFonts w:ascii="Palatino Linotype" w:hAnsi="Palatino Linotype"/>
          <w:sz w:val="24"/>
          <w:szCs w:val="24"/>
        </w:rPr>
        <w:t>éxico y Municipios</w:t>
      </w:r>
      <w:r>
        <w:rPr>
          <w:rFonts w:ascii="Palatino Linotype" w:hAnsi="Palatino Linotype"/>
          <w:sz w:val="24"/>
          <w:szCs w:val="24"/>
        </w:rPr>
        <w:t xml:space="preserve"> </w:t>
      </w:r>
      <w:r w:rsidR="00C9708F">
        <w:rPr>
          <w:rFonts w:ascii="Palatino Linotype" w:hAnsi="Palatino Linotype"/>
          <w:sz w:val="24"/>
          <w:szCs w:val="24"/>
        </w:rPr>
        <w:t>anterior a la nueva ley, aprobada en el presente año</w:t>
      </w:r>
      <w:r w:rsidR="0027789C">
        <w:rPr>
          <w:rFonts w:ascii="Palatino Linotype" w:hAnsi="Palatino Linotype"/>
          <w:sz w:val="24"/>
          <w:szCs w:val="24"/>
        </w:rPr>
        <w:t xml:space="preserve"> y que entrará en vigor el día uno (1)</w:t>
      </w:r>
      <w:r w:rsidR="00C9708F">
        <w:rPr>
          <w:rFonts w:ascii="Palatino Linotype" w:hAnsi="Palatino Linotype"/>
          <w:sz w:val="24"/>
          <w:szCs w:val="24"/>
        </w:rPr>
        <w:t xml:space="preserve"> de enero del año dos mil diecinueve. </w:t>
      </w:r>
    </w:p>
    <w:p w:rsidR="00C9708F" w:rsidRPr="00C9708F" w:rsidRDefault="00C9708F" w:rsidP="00C9708F">
      <w:pPr>
        <w:pStyle w:val="Prrafodelista"/>
        <w:rPr>
          <w:rFonts w:ascii="Palatino Linotype" w:hAnsi="Palatino Linotype"/>
          <w:sz w:val="24"/>
          <w:szCs w:val="24"/>
        </w:rPr>
      </w:pPr>
    </w:p>
    <w:p w:rsidR="003354FC" w:rsidRDefault="00C71ED4" w:rsidP="00B334C9">
      <w:pPr>
        <w:pStyle w:val="Prrafodelista"/>
        <w:numPr>
          <w:ilvl w:val="0"/>
          <w:numId w:val="2"/>
        </w:numPr>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En relación con </w:t>
      </w:r>
      <w:r w:rsidR="00C9708F">
        <w:rPr>
          <w:rFonts w:ascii="Palatino Linotype" w:hAnsi="Palatino Linotype"/>
          <w:sz w:val="24"/>
          <w:szCs w:val="24"/>
        </w:rPr>
        <w:t xml:space="preserve">lo anterior, la antigua Ley de Seguridad Social para los Servidores Públicos del Estado de México y Municipios, señalaba en su  </w:t>
      </w:r>
      <w:r w:rsidR="003354FC">
        <w:rPr>
          <w:rFonts w:ascii="Palatino Linotype" w:hAnsi="Palatino Linotype"/>
          <w:sz w:val="24"/>
          <w:szCs w:val="24"/>
        </w:rPr>
        <w:t>artículo 13 que el Instituto ejercerá las acciones que le correspondan, presentará denuncias o querellas y realizará los actos y gestione que convengan a sus intereses en contra de quien realice actos tendientes a causar daños y perjuicios a su patrimonio.</w:t>
      </w:r>
    </w:p>
    <w:p w:rsidR="003354FC" w:rsidRPr="003354FC" w:rsidRDefault="003354FC" w:rsidP="003354FC">
      <w:pPr>
        <w:pStyle w:val="Prrafodelista"/>
        <w:rPr>
          <w:rFonts w:ascii="Palatino Linotype" w:hAnsi="Palatino Linotype"/>
          <w:sz w:val="24"/>
          <w:szCs w:val="24"/>
        </w:rPr>
      </w:pPr>
    </w:p>
    <w:p w:rsidR="00495F9A" w:rsidRPr="003354FC" w:rsidRDefault="003354FC" w:rsidP="003354FC">
      <w:pPr>
        <w:pStyle w:val="Prrafodelista"/>
        <w:numPr>
          <w:ilvl w:val="0"/>
          <w:numId w:val="2"/>
        </w:numPr>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 </w:t>
      </w:r>
      <w:r w:rsidR="00495F9A" w:rsidRPr="003354FC">
        <w:rPr>
          <w:rFonts w:ascii="Palatino Linotype" w:hAnsi="Palatino Linotype"/>
          <w:sz w:val="24"/>
          <w:szCs w:val="24"/>
        </w:rPr>
        <w:t xml:space="preserve">De lo cual se prevé que el Instituto de Seguridad Social del Estado de México y Municipios </w:t>
      </w:r>
      <w:r>
        <w:rPr>
          <w:rFonts w:ascii="Palatino Linotype" w:hAnsi="Palatino Linotype"/>
          <w:sz w:val="24"/>
          <w:szCs w:val="24"/>
        </w:rPr>
        <w:t xml:space="preserve">(ISSEMYM) </w:t>
      </w:r>
      <w:r w:rsidR="00495F9A" w:rsidRPr="003354FC">
        <w:rPr>
          <w:rFonts w:ascii="Palatino Linotype" w:hAnsi="Palatino Linotype"/>
          <w:sz w:val="24"/>
          <w:szCs w:val="24"/>
        </w:rPr>
        <w:t>cuenta con herramientas, que en el caso de incumplimiento de las contribuciones obligatorias por parte de las dem</w:t>
      </w:r>
      <w:r w:rsidR="0027789C">
        <w:rPr>
          <w:rFonts w:ascii="Palatino Linotype" w:hAnsi="Palatino Linotype"/>
          <w:sz w:val="24"/>
          <w:szCs w:val="24"/>
        </w:rPr>
        <w:t>ás Instituciones puede ejercer en su contra.</w:t>
      </w:r>
    </w:p>
    <w:p w:rsidR="00642A12" w:rsidRDefault="00642A12" w:rsidP="00642A12">
      <w:pPr>
        <w:spacing w:after="0" w:line="360" w:lineRule="auto"/>
        <w:ind w:right="567"/>
        <w:jc w:val="both"/>
        <w:rPr>
          <w:rFonts w:ascii="Palatino Linotype" w:hAnsi="Palatino Linotype"/>
          <w:sz w:val="24"/>
        </w:rPr>
      </w:pPr>
    </w:p>
    <w:p w:rsidR="001F2E00" w:rsidRPr="00205BAD" w:rsidRDefault="00205BAD" w:rsidP="00205BAD">
      <w:pPr>
        <w:pStyle w:val="Prrafodelista"/>
        <w:numPr>
          <w:ilvl w:val="0"/>
          <w:numId w:val="18"/>
        </w:numPr>
        <w:spacing w:after="0" w:line="360" w:lineRule="auto"/>
        <w:ind w:left="709" w:right="567"/>
        <w:jc w:val="both"/>
        <w:rPr>
          <w:rFonts w:ascii="Palatino Linotype" w:hAnsi="Palatino Linotype"/>
          <w:b/>
          <w:sz w:val="24"/>
        </w:rPr>
      </w:pPr>
      <w:r>
        <w:rPr>
          <w:rFonts w:ascii="Palatino Linotype" w:hAnsi="Palatino Linotype"/>
          <w:b/>
          <w:sz w:val="24"/>
        </w:rPr>
        <w:t xml:space="preserve">De la naturaleza del convenio. </w:t>
      </w:r>
    </w:p>
    <w:p w:rsidR="00642A12" w:rsidRPr="00642A12" w:rsidRDefault="00642A12" w:rsidP="00642A12">
      <w:pPr>
        <w:spacing w:after="0" w:line="360" w:lineRule="auto"/>
        <w:ind w:right="567"/>
        <w:jc w:val="both"/>
        <w:rPr>
          <w:sz w:val="24"/>
        </w:rPr>
      </w:pPr>
    </w:p>
    <w:p w:rsidR="00642A12" w:rsidRPr="00CA7B56" w:rsidRDefault="00642A12" w:rsidP="008C7FA2">
      <w:pPr>
        <w:pStyle w:val="Prrafodelista"/>
        <w:numPr>
          <w:ilvl w:val="0"/>
          <w:numId w:val="2"/>
        </w:numPr>
        <w:spacing w:after="0" w:line="360" w:lineRule="auto"/>
        <w:ind w:left="0" w:firstLine="0"/>
        <w:jc w:val="both"/>
        <w:rPr>
          <w:sz w:val="24"/>
        </w:rPr>
      </w:pPr>
      <w:r>
        <w:rPr>
          <w:rFonts w:ascii="Palatino Linotype" w:hAnsi="Palatino Linotype"/>
          <w:sz w:val="24"/>
        </w:rPr>
        <w:t>El convenio, resulta un instru</w:t>
      </w:r>
      <w:r w:rsidR="00FA5D80">
        <w:rPr>
          <w:rFonts w:ascii="Palatino Linotype" w:hAnsi="Palatino Linotype"/>
          <w:sz w:val="24"/>
        </w:rPr>
        <w:t>mento jurídico valioso para el s</w:t>
      </w:r>
      <w:r>
        <w:rPr>
          <w:rFonts w:ascii="Palatino Linotype" w:hAnsi="Palatino Linotype"/>
          <w:sz w:val="24"/>
        </w:rPr>
        <w:t xml:space="preserve">ector </w:t>
      </w:r>
      <w:r w:rsidR="00FA5D80">
        <w:rPr>
          <w:rFonts w:ascii="Palatino Linotype" w:hAnsi="Palatino Linotype"/>
          <w:sz w:val="24"/>
        </w:rPr>
        <w:t>p</w:t>
      </w:r>
      <w:r>
        <w:rPr>
          <w:rFonts w:ascii="Palatino Linotype" w:hAnsi="Palatino Linotype"/>
          <w:sz w:val="24"/>
        </w:rPr>
        <w:t xml:space="preserve">úblico, </w:t>
      </w:r>
      <w:r w:rsidR="00FA5D80">
        <w:rPr>
          <w:rFonts w:ascii="Palatino Linotype" w:hAnsi="Palatino Linotype"/>
          <w:sz w:val="24"/>
        </w:rPr>
        <w:t xml:space="preserve"> </w:t>
      </w:r>
      <w:r>
        <w:rPr>
          <w:rFonts w:ascii="Palatino Linotype" w:hAnsi="Palatino Linotype"/>
          <w:sz w:val="24"/>
        </w:rPr>
        <w:t xml:space="preserve">de coparticipación con otros entes públicos, o bien con los particulares. Se </w:t>
      </w:r>
      <w:r w:rsidR="008C7FA2">
        <w:rPr>
          <w:rFonts w:ascii="Palatino Linotype" w:hAnsi="Palatino Linotype"/>
          <w:sz w:val="24"/>
        </w:rPr>
        <w:t>sitúa</w:t>
      </w:r>
      <w:r>
        <w:rPr>
          <w:rFonts w:ascii="Palatino Linotype" w:hAnsi="Palatino Linotype"/>
          <w:sz w:val="24"/>
        </w:rPr>
        <w:t xml:space="preserve"> así, fundamentalmente, como herramienta al servicio de la necesaria colaboración entre Administraciones, o de éstas con los sujetos de derecho privado, para implementar los principios de cooperación y lealtad institucional que presiden todas las relaciones entre lo público, así como los de participación y subsidiariedad de las relaciones con la sociedad civil. </w:t>
      </w:r>
    </w:p>
    <w:p w:rsidR="00CA7B56" w:rsidRPr="00CA7B56" w:rsidRDefault="00CA7B56" w:rsidP="00CA7B56">
      <w:pPr>
        <w:pStyle w:val="Prrafodelista"/>
        <w:spacing w:after="0" w:line="360" w:lineRule="auto"/>
        <w:ind w:left="644"/>
        <w:jc w:val="both"/>
        <w:rPr>
          <w:sz w:val="24"/>
        </w:rPr>
      </w:pPr>
    </w:p>
    <w:p w:rsidR="00382836" w:rsidRDefault="00890E4A" w:rsidP="008C7FA2">
      <w:pPr>
        <w:pStyle w:val="Prrafodelista"/>
        <w:numPr>
          <w:ilvl w:val="0"/>
          <w:numId w:val="2"/>
        </w:numPr>
        <w:spacing w:after="0" w:line="360" w:lineRule="auto"/>
        <w:ind w:left="0" w:firstLine="0"/>
        <w:jc w:val="both"/>
        <w:rPr>
          <w:rFonts w:ascii="Palatino Linotype" w:hAnsi="Palatino Linotype"/>
          <w:sz w:val="24"/>
        </w:rPr>
      </w:pPr>
      <w:r>
        <w:rPr>
          <w:rFonts w:ascii="Palatino Linotype" w:hAnsi="Palatino Linotype"/>
          <w:sz w:val="24"/>
        </w:rPr>
        <w:t>Es en sí, el</w:t>
      </w:r>
      <w:r w:rsidR="00382836">
        <w:rPr>
          <w:rFonts w:ascii="Palatino Linotype" w:hAnsi="Palatino Linotype"/>
          <w:sz w:val="24"/>
        </w:rPr>
        <w:t xml:space="preserve"> convenio </w:t>
      </w:r>
      <w:r>
        <w:rPr>
          <w:rFonts w:ascii="Palatino Linotype" w:hAnsi="Palatino Linotype"/>
          <w:sz w:val="24"/>
        </w:rPr>
        <w:t xml:space="preserve">un </w:t>
      </w:r>
      <w:r w:rsidR="00382836">
        <w:rPr>
          <w:rFonts w:ascii="Palatino Linotype" w:hAnsi="Palatino Linotype"/>
          <w:sz w:val="24"/>
        </w:rPr>
        <w:t xml:space="preserve">acuerdo de dos o más voluntades, para crear, transferir, modificar o extinguir obligaciones, </w:t>
      </w:r>
      <w:r>
        <w:rPr>
          <w:rFonts w:ascii="Palatino Linotype" w:hAnsi="Palatino Linotype"/>
          <w:sz w:val="24"/>
        </w:rPr>
        <w:t>é</w:t>
      </w:r>
      <w:r w:rsidR="00382836">
        <w:rPr>
          <w:rFonts w:ascii="Palatino Linotype" w:hAnsi="Palatino Linotype"/>
          <w:sz w:val="24"/>
        </w:rPr>
        <w:t>stos se perfeccionan con el mer</w:t>
      </w:r>
      <w:r>
        <w:rPr>
          <w:rFonts w:ascii="Palatino Linotype" w:hAnsi="Palatino Linotype"/>
          <w:sz w:val="24"/>
        </w:rPr>
        <w:t xml:space="preserve">o consentimiento de las partes y </w:t>
      </w:r>
      <w:r w:rsidR="00382836">
        <w:rPr>
          <w:rFonts w:ascii="Palatino Linotype" w:hAnsi="Palatino Linotype"/>
          <w:sz w:val="24"/>
        </w:rPr>
        <w:t>desde que son perfeccionados obligan a los contratantes no s</w:t>
      </w:r>
      <w:r>
        <w:rPr>
          <w:rFonts w:ascii="Palatino Linotype" w:hAnsi="Palatino Linotype"/>
          <w:sz w:val="24"/>
        </w:rPr>
        <w:t>ó</w:t>
      </w:r>
      <w:r w:rsidR="00382836">
        <w:rPr>
          <w:rFonts w:ascii="Palatino Linotype" w:hAnsi="Palatino Linotype"/>
          <w:sz w:val="24"/>
        </w:rPr>
        <w:t xml:space="preserve">lo al cumplimiento de lo expresamente pactado, sino también a las consecuencias que, según su naturaleza, son conforme a la buena fe, a la costumbre o a la ley, de igual manera, su validez y el cumplimiento de los mismos, no pueden dejarse a las voluntad de una de las partes, es por ello que a su elaboración las </w:t>
      </w:r>
      <w:r>
        <w:rPr>
          <w:rFonts w:ascii="Palatino Linotype" w:hAnsi="Palatino Linotype"/>
          <w:sz w:val="24"/>
        </w:rPr>
        <w:t xml:space="preserve">éstas </w:t>
      </w:r>
      <w:r w:rsidR="00382836">
        <w:rPr>
          <w:rFonts w:ascii="Palatino Linotype" w:hAnsi="Palatino Linotype"/>
          <w:sz w:val="24"/>
        </w:rPr>
        <w:t xml:space="preserve">podrán establecer las circunstancias que sustentaron  los motivos </w:t>
      </w:r>
      <w:r>
        <w:rPr>
          <w:rFonts w:ascii="Palatino Linotype" w:hAnsi="Palatino Linotype"/>
          <w:sz w:val="24"/>
        </w:rPr>
        <w:t xml:space="preserve">para su creación, </w:t>
      </w:r>
      <w:r w:rsidR="00382836">
        <w:rPr>
          <w:rFonts w:ascii="Palatino Linotype" w:hAnsi="Palatino Linotype"/>
          <w:sz w:val="24"/>
        </w:rPr>
        <w:t>así como determinarán las circunstancias</w:t>
      </w:r>
      <w:r w:rsidR="00A82851">
        <w:rPr>
          <w:rFonts w:ascii="Palatino Linotype" w:hAnsi="Palatino Linotype"/>
          <w:sz w:val="24"/>
        </w:rPr>
        <w:t xml:space="preserve"> para su cumplimiento, es decir señalará</w:t>
      </w:r>
      <w:r>
        <w:rPr>
          <w:rFonts w:ascii="Palatino Linotype" w:hAnsi="Palatino Linotype"/>
          <w:sz w:val="24"/>
        </w:rPr>
        <w:t>n bilateralmente la manera</w:t>
      </w:r>
      <w:r w:rsidR="00A82851">
        <w:rPr>
          <w:rFonts w:ascii="Palatino Linotype" w:hAnsi="Palatino Linotype"/>
          <w:sz w:val="24"/>
        </w:rPr>
        <w:t xml:space="preserve"> y los términos de los cuales quieren obligarse. </w:t>
      </w:r>
    </w:p>
    <w:p w:rsidR="00382836" w:rsidRPr="00382836" w:rsidRDefault="00382836" w:rsidP="00382836">
      <w:pPr>
        <w:pStyle w:val="Prrafodelista"/>
        <w:rPr>
          <w:rFonts w:ascii="Palatino Linotype" w:hAnsi="Palatino Linotype"/>
          <w:sz w:val="24"/>
        </w:rPr>
      </w:pPr>
    </w:p>
    <w:p w:rsidR="00382836" w:rsidRDefault="00382836" w:rsidP="008C7FA2">
      <w:pPr>
        <w:pStyle w:val="Prrafodelista"/>
        <w:numPr>
          <w:ilvl w:val="0"/>
          <w:numId w:val="2"/>
        </w:numPr>
        <w:spacing w:after="0" w:line="360" w:lineRule="auto"/>
        <w:ind w:left="0" w:firstLine="0"/>
        <w:jc w:val="both"/>
        <w:rPr>
          <w:rFonts w:ascii="Palatino Linotype" w:hAnsi="Palatino Linotype"/>
          <w:sz w:val="24"/>
        </w:rPr>
      </w:pPr>
      <w:r>
        <w:rPr>
          <w:rFonts w:ascii="Palatino Linotype" w:hAnsi="Palatino Linotype"/>
          <w:sz w:val="24"/>
        </w:rPr>
        <w:t xml:space="preserve">De lo señalado previamente, se deriva entonces que los convenios </w:t>
      </w:r>
      <w:r w:rsidR="00A82851">
        <w:rPr>
          <w:rFonts w:ascii="Palatino Linotype" w:hAnsi="Palatino Linotype"/>
          <w:sz w:val="24"/>
        </w:rPr>
        <w:t xml:space="preserve">crean, transfieren, modifican o extinguen </w:t>
      </w:r>
      <w:r w:rsidR="00A82851" w:rsidRPr="00A82851">
        <w:rPr>
          <w:rFonts w:ascii="Palatino Linotype" w:hAnsi="Palatino Linotype"/>
          <w:sz w:val="24"/>
          <w:u w:val="single"/>
        </w:rPr>
        <w:t>obligaciones</w:t>
      </w:r>
      <w:r w:rsidR="00A82851">
        <w:rPr>
          <w:rFonts w:ascii="Palatino Linotype" w:hAnsi="Palatino Linotype"/>
          <w:sz w:val="24"/>
        </w:rPr>
        <w:t xml:space="preserve">; entendiéndose éstas como las </w:t>
      </w:r>
      <w:r w:rsidR="00A82851">
        <w:rPr>
          <w:rFonts w:ascii="Palatino Linotype" w:hAnsi="Palatino Linotype"/>
          <w:sz w:val="24"/>
        </w:rPr>
        <w:lastRenderedPageBreak/>
        <w:t xml:space="preserve">relaciones que se establecen entre un acreedor y un deudor, donde la facultad del acreedor es la exigencia al deudor el cumplimiento de una prestación. Luego entonces su objeto recae en que el deudor; I) esté obligado a dar el bien II) que esté obligado a hacer o no hacer. </w:t>
      </w:r>
    </w:p>
    <w:p w:rsidR="00A82851" w:rsidRPr="00A82851" w:rsidRDefault="00A82851" w:rsidP="00A82851">
      <w:pPr>
        <w:pStyle w:val="Prrafodelista"/>
        <w:rPr>
          <w:rFonts w:ascii="Palatino Linotype" w:hAnsi="Palatino Linotype"/>
          <w:sz w:val="24"/>
        </w:rPr>
      </w:pPr>
    </w:p>
    <w:p w:rsidR="00A82851" w:rsidRDefault="00A82851" w:rsidP="008C7FA2">
      <w:pPr>
        <w:pStyle w:val="Prrafodelista"/>
        <w:numPr>
          <w:ilvl w:val="0"/>
          <w:numId w:val="2"/>
        </w:numPr>
        <w:spacing w:after="0" w:line="360" w:lineRule="auto"/>
        <w:ind w:left="0" w:firstLine="0"/>
        <w:jc w:val="both"/>
        <w:rPr>
          <w:rFonts w:ascii="Palatino Linotype" w:hAnsi="Palatino Linotype"/>
          <w:sz w:val="24"/>
        </w:rPr>
      </w:pPr>
      <w:r>
        <w:rPr>
          <w:rFonts w:ascii="Palatino Linotype" w:hAnsi="Palatino Linotype"/>
          <w:sz w:val="24"/>
        </w:rPr>
        <w:t xml:space="preserve">En </w:t>
      </w:r>
      <w:r w:rsidR="006F4AFE">
        <w:rPr>
          <w:rFonts w:ascii="Palatino Linotype" w:hAnsi="Palatino Linotype"/>
          <w:sz w:val="24"/>
        </w:rPr>
        <w:t xml:space="preserve">el caso concreto que nos ocupa, el convenio se derivó como un acuerdo </w:t>
      </w:r>
      <w:r w:rsidR="00174971">
        <w:rPr>
          <w:rFonts w:ascii="Palatino Linotype" w:hAnsi="Palatino Linotype"/>
          <w:sz w:val="24"/>
        </w:rPr>
        <w:t xml:space="preserve">entre el Instituto de Seguridad Social del Estado de México y Municipios con los municipios, sistemas municipales DIF y organismos auxiliares estatales, con la finalidad </w:t>
      </w:r>
      <w:r w:rsidR="0027789C">
        <w:rPr>
          <w:rFonts w:ascii="Palatino Linotype" w:hAnsi="Palatino Linotype"/>
          <w:sz w:val="24"/>
        </w:rPr>
        <w:t xml:space="preserve">de </w:t>
      </w:r>
      <w:r w:rsidR="006F4AFE">
        <w:rPr>
          <w:rFonts w:ascii="Palatino Linotype" w:hAnsi="Palatino Linotype"/>
          <w:sz w:val="24"/>
        </w:rPr>
        <w:t xml:space="preserve">establecer la reestructuración de deuda e importes pendientes de pago </w:t>
      </w:r>
      <w:r w:rsidR="00174971">
        <w:rPr>
          <w:rFonts w:ascii="Palatino Linotype" w:hAnsi="Palatino Linotype"/>
          <w:sz w:val="24"/>
        </w:rPr>
        <w:t xml:space="preserve">de </w:t>
      </w:r>
      <w:r w:rsidR="006129A4">
        <w:rPr>
          <w:rFonts w:ascii="Palatino Linotype" w:hAnsi="Palatino Linotype"/>
          <w:sz w:val="24"/>
        </w:rPr>
        <w:t xml:space="preserve">éstos, en razón al incumplimiento de sus obligaciones de pago por parte de las </w:t>
      </w:r>
      <w:r w:rsidR="0027789C">
        <w:rPr>
          <w:rFonts w:ascii="Palatino Linotype" w:hAnsi="Palatino Linotype"/>
          <w:sz w:val="24"/>
        </w:rPr>
        <w:t xml:space="preserve">distintas </w:t>
      </w:r>
      <w:r w:rsidR="006129A4">
        <w:rPr>
          <w:rFonts w:ascii="Palatino Linotype" w:hAnsi="Palatino Linotype"/>
          <w:sz w:val="24"/>
        </w:rPr>
        <w:t xml:space="preserve">administraciones. </w:t>
      </w:r>
    </w:p>
    <w:p w:rsidR="006129A4" w:rsidRPr="006129A4" w:rsidRDefault="006129A4" w:rsidP="006129A4">
      <w:pPr>
        <w:pStyle w:val="Prrafodelista"/>
        <w:rPr>
          <w:rFonts w:ascii="Palatino Linotype" w:hAnsi="Palatino Linotype"/>
          <w:sz w:val="24"/>
        </w:rPr>
      </w:pPr>
    </w:p>
    <w:p w:rsidR="00382836" w:rsidRPr="0027789C" w:rsidRDefault="006129A4" w:rsidP="004937AB">
      <w:pPr>
        <w:pStyle w:val="Prrafodelista"/>
        <w:numPr>
          <w:ilvl w:val="0"/>
          <w:numId w:val="2"/>
        </w:numPr>
        <w:spacing w:after="0" w:line="360" w:lineRule="auto"/>
        <w:ind w:left="0" w:firstLine="0"/>
        <w:jc w:val="both"/>
        <w:rPr>
          <w:rFonts w:ascii="Palatino Linotype" w:hAnsi="Palatino Linotype"/>
          <w:b/>
          <w:sz w:val="24"/>
        </w:rPr>
      </w:pPr>
      <w:r>
        <w:rPr>
          <w:rFonts w:ascii="Palatino Linotype" w:hAnsi="Palatino Linotype"/>
          <w:sz w:val="24"/>
        </w:rPr>
        <w:t>Deri</w:t>
      </w:r>
      <w:r w:rsidR="004937AB">
        <w:rPr>
          <w:rFonts w:ascii="Palatino Linotype" w:hAnsi="Palatino Linotype"/>
          <w:sz w:val="24"/>
        </w:rPr>
        <w:t>vado de la diligencia realizada</w:t>
      </w:r>
      <w:r>
        <w:rPr>
          <w:rFonts w:ascii="Palatino Linotype" w:hAnsi="Palatino Linotype"/>
          <w:sz w:val="24"/>
        </w:rPr>
        <w:t xml:space="preserve"> para verificar la naturaleza de la información contenida en los convenios firmados, se detalla su contenido al tenor de lo siguiente: los convenios se encuentran estructurados de manera general por un </w:t>
      </w:r>
      <w:r w:rsidRPr="0027789C">
        <w:rPr>
          <w:rFonts w:ascii="Palatino Linotype" w:hAnsi="Palatino Linotype"/>
          <w:b/>
          <w:sz w:val="24"/>
        </w:rPr>
        <w:t>apartado de antecedentes, apartado de declaraciones por una parte del ISSEMYM y por otra de la parte deudora, una sección de la Subsecretar</w:t>
      </w:r>
      <w:r w:rsidR="004937AB" w:rsidRPr="0027789C">
        <w:rPr>
          <w:rFonts w:ascii="Palatino Linotype" w:hAnsi="Palatino Linotype"/>
          <w:b/>
          <w:sz w:val="24"/>
        </w:rPr>
        <w:t xml:space="preserve">ía y </w:t>
      </w:r>
      <w:r w:rsidRPr="0027789C">
        <w:rPr>
          <w:rFonts w:ascii="Palatino Linotype" w:hAnsi="Palatino Linotype"/>
          <w:b/>
          <w:sz w:val="24"/>
        </w:rPr>
        <w:t xml:space="preserve">de las partes, en el apartado de las clausulas, se reconocen los adeudos, se definen los montos y composición, así como un calendario de pagos, se detalla de igual manera una clausula sobre el incumplimiento de la parte deudora, así como la autorización </w:t>
      </w:r>
      <w:r w:rsidR="004937AB" w:rsidRPr="0027789C">
        <w:rPr>
          <w:rFonts w:ascii="Palatino Linotype" w:hAnsi="Palatino Linotype"/>
          <w:b/>
          <w:sz w:val="24"/>
        </w:rPr>
        <w:t xml:space="preserve">del deudor a la Subsecretaria para aceptar la afectación a las participaciones federal, de igual forma, se detalla una clausula sobre el </w:t>
      </w:r>
      <w:r w:rsidR="004937AB" w:rsidRPr="0027789C">
        <w:rPr>
          <w:rFonts w:ascii="Palatino Linotype" w:hAnsi="Palatino Linotype"/>
          <w:b/>
          <w:sz w:val="24"/>
        </w:rPr>
        <w:lastRenderedPageBreak/>
        <w:t xml:space="preserve">procedimiento de los pagos a realización, así como una clausula sobre el pago anticipado y las formalidades legales.  </w:t>
      </w:r>
    </w:p>
    <w:p w:rsidR="004937AB" w:rsidRPr="004937AB" w:rsidRDefault="004937AB" w:rsidP="004937AB">
      <w:pPr>
        <w:pStyle w:val="Prrafodelista"/>
        <w:spacing w:after="0" w:line="360" w:lineRule="auto"/>
        <w:ind w:left="0"/>
        <w:jc w:val="both"/>
        <w:rPr>
          <w:rFonts w:ascii="Palatino Linotype" w:hAnsi="Palatino Linotype"/>
          <w:sz w:val="24"/>
        </w:rPr>
      </w:pPr>
    </w:p>
    <w:p w:rsidR="00642A12" w:rsidRPr="00DA6915" w:rsidRDefault="00DA6915" w:rsidP="00DA6915">
      <w:pPr>
        <w:pStyle w:val="Prrafodelista"/>
        <w:numPr>
          <w:ilvl w:val="0"/>
          <w:numId w:val="2"/>
        </w:numPr>
        <w:spacing w:after="0" w:line="360" w:lineRule="auto"/>
        <w:ind w:left="0" w:firstLine="0"/>
        <w:jc w:val="both"/>
        <w:rPr>
          <w:rFonts w:ascii="Palatino Linotype" w:hAnsi="Palatino Linotype"/>
        </w:rPr>
      </w:pPr>
      <w:r w:rsidRPr="00DA6915">
        <w:rPr>
          <w:rFonts w:ascii="Palatino Linotype" w:hAnsi="Palatino Linotype"/>
          <w:sz w:val="24"/>
        </w:rPr>
        <w:t>Entonces se tiene que la finalidad de cada uno de los convenios que fueron celebrados, consiste en que el deudor se compromete a pagar su deuda de acuerdo al calendario convenido hasta que sea saldada en su totalidad y así resarcir la afectación que le causo al ISSEMYM</w:t>
      </w:r>
      <w:r>
        <w:rPr>
          <w:rFonts w:ascii="Palatino Linotype" w:hAnsi="Palatino Linotype"/>
          <w:sz w:val="24"/>
        </w:rPr>
        <w:t xml:space="preserve"> y también</w:t>
      </w:r>
      <w:r>
        <w:rPr>
          <w:rFonts w:ascii="Palatino Linotype" w:hAnsi="Palatino Linotype"/>
        </w:rPr>
        <w:t xml:space="preserve"> </w:t>
      </w:r>
      <w:r w:rsidR="004937AB" w:rsidRPr="00DA6915">
        <w:rPr>
          <w:rFonts w:ascii="Palatino Linotype" w:hAnsi="Palatino Linotype"/>
          <w:sz w:val="24"/>
        </w:rPr>
        <w:t xml:space="preserve">se prevé que existe una cláusula de penalización que se hace efectiva al incumplimiento de las obligaciones de pago en atención al calendario de pagos que se estableció entre las partes.  </w:t>
      </w:r>
    </w:p>
    <w:p w:rsidR="0027789C" w:rsidRPr="0027789C" w:rsidRDefault="0027789C" w:rsidP="0027789C">
      <w:pPr>
        <w:pStyle w:val="Prrafodelista"/>
        <w:spacing w:after="0" w:line="360" w:lineRule="auto"/>
        <w:ind w:left="567" w:right="567"/>
        <w:jc w:val="both"/>
        <w:rPr>
          <w:rFonts w:ascii="Palatino Linotype" w:hAnsi="Palatino Linotype"/>
        </w:rPr>
      </w:pPr>
    </w:p>
    <w:p w:rsidR="00642A12" w:rsidRPr="00205BAD" w:rsidRDefault="00205BAD" w:rsidP="00205BAD">
      <w:pPr>
        <w:pStyle w:val="Prrafodelista"/>
        <w:numPr>
          <w:ilvl w:val="0"/>
          <w:numId w:val="18"/>
        </w:numPr>
        <w:spacing w:after="0" w:line="360" w:lineRule="auto"/>
        <w:ind w:left="709" w:right="567"/>
        <w:jc w:val="both"/>
        <w:rPr>
          <w:rFonts w:ascii="Palatino Linotype" w:hAnsi="Palatino Linotype"/>
          <w:b/>
          <w:sz w:val="24"/>
        </w:rPr>
      </w:pPr>
      <w:r>
        <w:rPr>
          <w:rFonts w:ascii="Palatino Linotype" w:hAnsi="Palatino Linotype"/>
          <w:b/>
          <w:sz w:val="24"/>
        </w:rPr>
        <w:t xml:space="preserve">Supuestos para </w:t>
      </w:r>
      <w:r w:rsidR="00DA6915">
        <w:rPr>
          <w:rFonts w:ascii="Palatino Linotype" w:hAnsi="Palatino Linotype"/>
          <w:b/>
          <w:sz w:val="24"/>
        </w:rPr>
        <w:t>la clasificación de la información.</w:t>
      </w:r>
    </w:p>
    <w:p w:rsidR="00AE0D08" w:rsidRDefault="00AE0D08" w:rsidP="00AE0D08">
      <w:pPr>
        <w:pStyle w:val="Prrafodelista"/>
        <w:spacing w:after="0" w:line="360" w:lineRule="auto"/>
        <w:ind w:left="0"/>
        <w:jc w:val="both"/>
        <w:rPr>
          <w:rFonts w:ascii="Palatino Linotype" w:hAnsi="Palatino Linotype"/>
          <w:sz w:val="24"/>
        </w:rPr>
      </w:pPr>
    </w:p>
    <w:p w:rsidR="00AE0D08" w:rsidRDefault="00AE0D08" w:rsidP="00AE0D08">
      <w:pPr>
        <w:pStyle w:val="Prrafodelista"/>
        <w:numPr>
          <w:ilvl w:val="0"/>
          <w:numId w:val="2"/>
        </w:numPr>
        <w:spacing w:after="0" w:line="360" w:lineRule="auto"/>
        <w:ind w:left="0" w:firstLine="0"/>
        <w:jc w:val="both"/>
        <w:rPr>
          <w:rFonts w:ascii="Palatino Linotype" w:hAnsi="Palatino Linotype"/>
          <w:sz w:val="24"/>
        </w:rPr>
      </w:pPr>
      <w:r>
        <w:rPr>
          <w:rFonts w:ascii="Palatino Linotype" w:hAnsi="Palatino Linotype"/>
          <w:sz w:val="24"/>
        </w:rPr>
        <w:t xml:space="preserve">El </w:t>
      </w:r>
      <w:r w:rsidRPr="00AE0D08">
        <w:rPr>
          <w:rFonts w:ascii="Palatino Linotype" w:hAnsi="Palatino Linotype"/>
          <w:b/>
          <w:sz w:val="24"/>
        </w:rPr>
        <w:t>SUJETO OBLIGADO</w:t>
      </w:r>
      <w:r>
        <w:rPr>
          <w:rFonts w:ascii="Palatino Linotype" w:hAnsi="Palatino Linotype"/>
          <w:sz w:val="24"/>
        </w:rPr>
        <w:t xml:space="preserve"> en su respuesta y posteriormente en su acuerdo de clasificación señaló que la información peticionada resultaba reservada por actualizarse las causales de reserva previstas en el artículo 140 fracción V, numerales 1 y 2 de la Ley de Transparencia y Acceso a la Información Pública del Estado de México y Municipios, el cual establece: </w:t>
      </w:r>
    </w:p>
    <w:p w:rsidR="00AE0D08" w:rsidRPr="00AE0D08" w:rsidRDefault="00AE0D08" w:rsidP="00AE0D08">
      <w:pPr>
        <w:pStyle w:val="Prrafodelista"/>
        <w:rPr>
          <w:rFonts w:ascii="Palatino Linotype" w:eastAsia="MS Mincho" w:hAnsi="Palatino Linotype" w:cs="Times New Roman"/>
          <w:i/>
          <w:szCs w:val="24"/>
          <w:lang w:eastAsia="es-ES"/>
        </w:rPr>
      </w:pPr>
    </w:p>
    <w:p w:rsidR="00D95A22" w:rsidRPr="00AE0D08" w:rsidRDefault="00D95A22" w:rsidP="00AE0D08">
      <w:pPr>
        <w:pStyle w:val="Prrafodelista"/>
        <w:spacing w:after="0" w:line="360" w:lineRule="auto"/>
        <w:ind w:left="567" w:right="567"/>
        <w:jc w:val="both"/>
        <w:rPr>
          <w:rFonts w:ascii="Palatino Linotype" w:hAnsi="Palatino Linotype"/>
          <w:sz w:val="24"/>
        </w:rPr>
      </w:pPr>
      <w:r w:rsidRPr="00AE0D08">
        <w:rPr>
          <w:rFonts w:ascii="Palatino Linotype" w:eastAsia="MS Mincho" w:hAnsi="Palatino Linotype" w:cs="Times New Roman"/>
          <w:i/>
          <w:szCs w:val="24"/>
          <w:lang w:eastAsia="es-ES"/>
        </w:rPr>
        <w:t xml:space="preserve">Artículo 140. El acceso a la información pública será restringido excepcionalmente, cuando por razones de interés público, ésta sea clasificada como reservada, conforme a los criterios siguientes: </w:t>
      </w:r>
    </w:p>
    <w:p w:rsidR="00D95A22" w:rsidRDefault="00D95A22" w:rsidP="00AE0D08">
      <w:pPr>
        <w:tabs>
          <w:tab w:val="left" w:pos="8222"/>
        </w:tabs>
        <w:spacing w:line="360" w:lineRule="auto"/>
        <w:ind w:left="567" w:right="567"/>
        <w:jc w:val="both"/>
        <w:rPr>
          <w:rFonts w:ascii="Palatino Linotype" w:eastAsia="MS Mincho" w:hAnsi="Palatino Linotype" w:cs="Times New Roman"/>
          <w:i/>
          <w:szCs w:val="24"/>
          <w:lang w:eastAsia="es-ES"/>
        </w:rPr>
      </w:pPr>
      <w:r w:rsidRPr="00D95A22">
        <w:rPr>
          <w:rFonts w:ascii="Palatino Linotype" w:eastAsia="MS Mincho" w:hAnsi="Palatino Linotype" w:cs="Times New Roman"/>
          <w:i/>
          <w:szCs w:val="24"/>
          <w:lang w:eastAsia="es-ES"/>
        </w:rPr>
        <w:t xml:space="preserve">V. Aquella cuya divulgación obstruya o pueda causar un serio perjuicio a: </w:t>
      </w:r>
    </w:p>
    <w:p w:rsidR="00D95A22" w:rsidRDefault="00D95A22" w:rsidP="00AE0D08">
      <w:pPr>
        <w:tabs>
          <w:tab w:val="left" w:pos="8222"/>
        </w:tabs>
        <w:spacing w:line="360" w:lineRule="auto"/>
        <w:ind w:left="567" w:right="567"/>
        <w:jc w:val="both"/>
        <w:rPr>
          <w:rFonts w:ascii="Palatino Linotype" w:eastAsia="MS Mincho" w:hAnsi="Palatino Linotype" w:cs="Times New Roman"/>
          <w:i/>
          <w:szCs w:val="24"/>
          <w:lang w:eastAsia="es-ES"/>
        </w:rPr>
      </w:pPr>
      <w:r w:rsidRPr="00D95A22">
        <w:rPr>
          <w:rFonts w:ascii="Palatino Linotype" w:eastAsia="MS Mincho" w:hAnsi="Palatino Linotype" w:cs="Times New Roman"/>
          <w:i/>
          <w:szCs w:val="24"/>
          <w:lang w:eastAsia="es-ES"/>
        </w:rPr>
        <w:lastRenderedPageBreak/>
        <w:t xml:space="preserve">1. </w:t>
      </w:r>
      <w:r w:rsidRPr="00146414">
        <w:rPr>
          <w:rFonts w:ascii="Palatino Linotype" w:eastAsia="MS Mincho" w:hAnsi="Palatino Linotype" w:cs="Times New Roman"/>
          <w:b/>
          <w:i/>
          <w:szCs w:val="24"/>
          <w:lang w:eastAsia="es-ES"/>
        </w:rPr>
        <w:t>Las actividades de fiscalización, verificación, inspección, comprobación y auditoría sobre el cumplimiento de las Leyes; o</w:t>
      </w:r>
      <w:r w:rsidRPr="00D95A22">
        <w:rPr>
          <w:rFonts w:ascii="Palatino Linotype" w:eastAsia="MS Mincho" w:hAnsi="Palatino Linotype" w:cs="Times New Roman"/>
          <w:i/>
          <w:szCs w:val="24"/>
          <w:lang w:eastAsia="es-ES"/>
        </w:rPr>
        <w:t xml:space="preserve"> </w:t>
      </w:r>
    </w:p>
    <w:p w:rsidR="00D95A22" w:rsidRPr="00D95A22" w:rsidRDefault="00D95A22" w:rsidP="00AE0D08">
      <w:pPr>
        <w:tabs>
          <w:tab w:val="left" w:pos="8222"/>
        </w:tabs>
        <w:spacing w:line="360" w:lineRule="auto"/>
        <w:ind w:left="567" w:right="567"/>
        <w:jc w:val="both"/>
        <w:rPr>
          <w:rFonts w:ascii="Palatino Linotype" w:eastAsia="MS Mincho" w:hAnsi="Palatino Linotype" w:cs="Times New Roman"/>
          <w:i/>
          <w:szCs w:val="24"/>
          <w:lang w:eastAsia="es-ES"/>
        </w:rPr>
      </w:pPr>
      <w:r w:rsidRPr="00D95A22">
        <w:rPr>
          <w:rFonts w:ascii="Palatino Linotype" w:eastAsia="MS Mincho" w:hAnsi="Palatino Linotype" w:cs="Times New Roman"/>
          <w:i/>
          <w:szCs w:val="24"/>
          <w:lang w:eastAsia="es-ES"/>
        </w:rPr>
        <w:t xml:space="preserve">2. La recaudación de las contribuciones.  </w:t>
      </w:r>
    </w:p>
    <w:p w:rsidR="000845C6" w:rsidRDefault="00D95A22" w:rsidP="000845C6">
      <w:pPr>
        <w:tabs>
          <w:tab w:val="left" w:pos="8222"/>
        </w:tabs>
        <w:spacing w:after="0" w:line="360" w:lineRule="auto"/>
        <w:ind w:left="567" w:right="567"/>
        <w:jc w:val="both"/>
        <w:rPr>
          <w:rFonts w:ascii="Palatino Linotype" w:eastAsia="MS Mincho" w:hAnsi="Palatino Linotype" w:cs="Times New Roman"/>
          <w:szCs w:val="24"/>
          <w:lang w:eastAsia="es-ES"/>
        </w:rPr>
      </w:pPr>
      <w:r>
        <w:rPr>
          <w:rFonts w:ascii="Palatino Linotype" w:eastAsia="MS Mincho" w:hAnsi="Palatino Linotype" w:cs="Times New Roman"/>
          <w:szCs w:val="24"/>
          <w:lang w:eastAsia="es-ES"/>
        </w:rPr>
        <w:t xml:space="preserve">(…) </w:t>
      </w:r>
    </w:p>
    <w:p w:rsidR="000845C6" w:rsidRPr="00D95A22" w:rsidRDefault="000845C6" w:rsidP="000845C6">
      <w:pPr>
        <w:tabs>
          <w:tab w:val="left" w:pos="8222"/>
        </w:tabs>
        <w:spacing w:after="0" w:line="360" w:lineRule="auto"/>
        <w:ind w:right="567"/>
        <w:jc w:val="both"/>
        <w:rPr>
          <w:rFonts w:ascii="Palatino Linotype" w:eastAsia="MS Mincho" w:hAnsi="Palatino Linotype" w:cs="Times New Roman"/>
          <w:szCs w:val="24"/>
          <w:lang w:eastAsia="es-ES"/>
        </w:rPr>
      </w:pPr>
    </w:p>
    <w:p w:rsidR="00D95A22" w:rsidRDefault="00D95A22" w:rsidP="00205BAD">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sidRPr="00D95A22">
        <w:rPr>
          <w:rFonts w:ascii="Palatino Linotype" w:eastAsia="MS Mincho" w:hAnsi="Palatino Linotype" w:cs="Times New Roman"/>
          <w:sz w:val="24"/>
          <w:szCs w:val="24"/>
          <w:lang w:eastAsia="es-ES"/>
        </w:rPr>
        <w:t>Así como la actualización de las hipótesis previstas en el numeral vigésimo cuarto, trigésimo tercero y trigésimo cuarto de los Lineamientos generales en materia de clasificación y desclasificación de la informaci</w:t>
      </w:r>
      <w:r>
        <w:rPr>
          <w:rFonts w:ascii="Palatino Linotype" w:eastAsia="MS Mincho" w:hAnsi="Palatino Linotype" w:cs="Times New Roman"/>
          <w:sz w:val="24"/>
          <w:szCs w:val="24"/>
          <w:lang w:eastAsia="es-ES"/>
        </w:rPr>
        <w:t xml:space="preserve">ón que literalmente establecen lo siguiente: </w:t>
      </w:r>
    </w:p>
    <w:p w:rsidR="00146414" w:rsidRDefault="00146414" w:rsidP="00146414">
      <w:pPr>
        <w:pStyle w:val="Prrafodelista"/>
        <w:spacing w:line="360" w:lineRule="auto"/>
        <w:ind w:left="360"/>
        <w:jc w:val="both"/>
        <w:rPr>
          <w:rFonts w:ascii="Palatino Linotype" w:eastAsia="MS Mincho" w:hAnsi="Palatino Linotype" w:cs="Times New Roman"/>
          <w:sz w:val="24"/>
          <w:szCs w:val="24"/>
          <w:lang w:eastAsia="es-ES"/>
        </w:rPr>
      </w:pPr>
    </w:p>
    <w:p w:rsidR="000845C6" w:rsidRPr="00146414" w:rsidRDefault="00D95A22" w:rsidP="00146414">
      <w:pPr>
        <w:pStyle w:val="Prrafodelista"/>
        <w:numPr>
          <w:ilvl w:val="0"/>
          <w:numId w:val="12"/>
        </w:numPr>
        <w:shd w:val="clear" w:color="auto" w:fill="FFFFFF"/>
        <w:spacing w:after="120" w:line="360" w:lineRule="auto"/>
        <w:ind w:left="567" w:right="567" w:firstLine="0"/>
        <w:jc w:val="both"/>
        <w:rPr>
          <w:rFonts w:ascii="Palatino Linotype" w:eastAsia="Times New Roman" w:hAnsi="Palatino Linotype" w:cs="Arial"/>
          <w:i/>
          <w:color w:val="2F2F2F"/>
          <w:lang w:eastAsia="es-MX"/>
        </w:rPr>
      </w:pPr>
      <w:r w:rsidRPr="00146414">
        <w:rPr>
          <w:rFonts w:ascii="Palatino Linotype" w:eastAsia="Times New Roman" w:hAnsi="Palatino Linotype" w:cs="Arial"/>
          <w:b/>
          <w:bCs/>
          <w:i/>
          <w:color w:val="2F2F2F"/>
          <w:lang w:eastAsia="es-MX"/>
        </w:rPr>
        <w:t>Vigésimo Cuarto.- </w:t>
      </w:r>
      <w:r w:rsidR="000845C6" w:rsidRPr="00146414">
        <w:rPr>
          <w:rFonts w:ascii="Palatino Linotype" w:eastAsia="Times New Roman" w:hAnsi="Palatino Linotype" w:cs="Arial"/>
          <w:b/>
          <w:bCs/>
          <w:i/>
          <w:color w:val="2F2F2F"/>
          <w:lang w:eastAsia="es-MX"/>
        </w:rPr>
        <w:t xml:space="preserve"> </w:t>
      </w:r>
      <w:r w:rsidR="000845C6" w:rsidRPr="00146414">
        <w:rPr>
          <w:rFonts w:ascii="Palatino Linotype" w:eastAsia="Times New Roman" w:hAnsi="Palatino Linotype" w:cs="Arial"/>
          <w:bCs/>
          <w:i/>
          <w:color w:val="2F2F2F"/>
          <w:lang w:eastAsia="es-MX"/>
        </w:rPr>
        <w:t>De</w:t>
      </w:r>
      <w:r w:rsidR="000845C6" w:rsidRPr="00146414">
        <w:rPr>
          <w:rFonts w:ascii="Palatino Linotype" w:eastAsia="Times New Roman" w:hAnsi="Palatino Linotype" w:cs="Arial"/>
          <w:i/>
          <w:color w:val="2F2F2F"/>
          <w:lang w:eastAsia="es-MX"/>
        </w:rPr>
        <w:t xml:space="preserve"> conformidad con el artículo 113, fracción VI de la Ley General, podrá considerarse como reservada</w:t>
      </w:r>
      <w:r w:rsidR="000845C6" w:rsidRPr="00146414">
        <w:rPr>
          <w:rFonts w:ascii="Palatino Linotype" w:eastAsia="Times New Roman" w:hAnsi="Palatino Linotype" w:cs="Arial"/>
          <w:b/>
          <w:i/>
          <w:color w:val="2F2F2F"/>
          <w:lang w:eastAsia="es-MX"/>
        </w:rPr>
        <w:t>, aquella información que obstruya las actividades de verificación, inspección y auditoría relativas al cumplimiento de las leyes, cuando se actualicen los siguientes elementos</w:t>
      </w:r>
      <w:r w:rsidR="000845C6" w:rsidRPr="00146414">
        <w:rPr>
          <w:rFonts w:ascii="Palatino Linotype" w:eastAsia="Times New Roman" w:hAnsi="Palatino Linotype" w:cs="Arial"/>
          <w:i/>
          <w:color w:val="2F2F2F"/>
          <w:lang w:eastAsia="es-MX"/>
        </w:rPr>
        <w:t>:</w:t>
      </w:r>
    </w:p>
    <w:p w:rsidR="000845C6" w:rsidRPr="000845C6" w:rsidRDefault="000845C6" w:rsidP="000845C6">
      <w:pPr>
        <w:shd w:val="clear" w:color="auto" w:fill="FFFFFF"/>
        <w:spacing w:after="120"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La existencia de un procedimiento de verificación del cumplimiento de las leyes;</w:t>
      </w:r>
    </w:p>
    <w:p w:rsidR="000845C6" w:rsidRPr="000845C6" w:rsidRDefault="000845C6" w:rsidP="000845C6">
      <w:pPr>
        <w:shd w:val="clear" w:color="auto" w:fill="FFFFFF"/>
        <w:spacing w:after="120"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Que el procedimiento se encuentre en trámite;</w:t>
      </w:r>
    </w:p>
    <w:p w:rsidR="000845C6" w:rsidRPr="000845C6" w:rsidRDefault="000845C6" w:rsidP="000845C6">
      <w:pPr>
        <w:shd w:val="clear" w:color="auto" w:fill="FFFFFF"/>
        <w:spacing w:after="120"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La vinculación directa con las actividades que realiza la autoridad en el procedimiento de verificación del cumplimiento de las leyes, y</w:t>
      </w:r>
    </w:p>
    <w:p w:rsidR="000845C6" w:rsidRPr="000845C6" w:rsidRDefault="000845C6" w:rsidP="000845C6">
      <w:pPr>
        <w:shd w:val="clear" w:color="auto" w:fill="FFFFFF"/>
        <w:spacing w:after="120"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Que la difusión de la información impida u obstaculice las actividades de inspección, supervisión o vigilancia que realicen las autoridades en el procedimiento de verificación del cumplimiento de las leyes.</w:t>
      </w:r>
    </w:p>
    <w:p w:rsidR="000845C6" w:rsidRPr="000845C6" w:rsidRDefault="000845C6" w:rsidP="00146414">
      <w:pPr>
        <w:pStyle w:val="Prrafodelista"/>
        <w:numPr>
          <w:ilvl w:val="0"/>
          <w:numId w:val="11"/>
        </w:numPr>
        <w:spacing w:line="360" w:lineRule="auto"/>
        <w:ind w:left="567" w:firstLine="0"/>
        <w:jc w:val="both"/>
        <w:rPr>
          <w:rFonts w:ascii="Palatino Linotype" w:eastAsia="Times New Roman" w:hAnsi="Palatino Linotype" w:cs="Arial"/>
          <w:i/>
          <w:color w:val="2F2F2F"/>
          <w:lang w:eastAsia="es-MX"/>
        </w:rPr>
      </w:pPr>
      <w:r w:rsidRPr="000845C6">
        <w:rPr>
          <w:rFonts w:ascii="Palatino Linotype" w:eastAsia="Times New Roman" w:hAnsi="Palatino Linotype" w:cs="Arial"/>
          <w:b/>
          <w:bCs/>
          <w:i/>
          <w:color w:val="2F2F2F"/>
          <w:lang w:eastAsia="es-MX"/>
        </w:rPr>
        <w:lastRenderedPageBreak/>
        <w:t>Trigésimo tercero. </w:t>
      </w:r>
      <w:r w:rsidRPr="000845C6">
        <w:rPr>
          <w:rFonts w:ascii="Palatino Linotype" w:eastAsia="Times New Roman" w:hAnsi="Palatino Linotype" w:cs="Arial"/>
          <w:i/>
          <w:color w:val="2F2F2F"/>
          <w:lang w:eastAsia="es-MX"/>
        </w:rPr>
        <w:t>Para la aplicación de la prueba de daño a la que hace referencia el artículo 104 de la Ley General, los sujetos obligados atenderán lo siguiente:</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Se debe de acreditar el vínculo entre la difusión de la información y la afectación del interés jurídico tutelado de que se trate;</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Precisar las razones objetivas por las que la apertura de la información generaría una afectación, a través de los elementos de un riesgo real, demostrable e identificable;</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En la motivación de la clasificación, el sujeto obligado deberá acreditar las circunstancias de modo, tiempo y lugar del daño, y</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0845C6" w:rsidRPr="000845C6" w:rsidRDefault="000845C6" w:rsidP="00146414">
      <w:pPr>
        <w:pStyle w:val="Prrafodelista"/>
        <w:spacing w:line="360" w:lineRule="auto"/>
        <w:ind w:left="567" w:right="567"/>
        <w:jc w:val="both"/>
        <w:rPr>
          <w:rFonts w:ascii="Palatino Linotype" w:eastAsia="Times New Roman" w:hAnsi="Palatino Linotype" w:cs="Arial"/>
          <w:b/>
          <w:bCs/>
          <w:i/>
          <w:color w:val="2F2F2F"/>
          <w:lang w:eastAsia="es-MX"/>
        </w:rPr>
      </w:pPr>
    </w:p>
    <w:p w:rsidR="000845C6" w:rsidRPr="000845C6" w:rsidRDefault="000845C6" w:rsidP="00146414">
      <w:pPr>
        <w:pStyle w:val="Prrafodelista"/>
        <w:numPr>
          <w:ilvl w:val="0"/>
          <w:numId w:val="10"/>
        </w:numPr>
        <w:spacing w:line="360" w:lineRule="auto"/>
        <w:ind w:left="567" w:right="567" w:firstLine="0"/>
        <w:jc w:val="both"/>
        <w:rPr>
          <w:rFonts w:ascii="Palatino Linotype" w:eastAsia="Times New Roman" w:hAnsi="Palatino Linotype" w:cs="Arial"/>
          <w:i/>
          <w:color w:val="2F2F2F"/>
          <w:lang w:eastAsia="es-MX"/>
        </w:rPr>
      </w:pPr>
      <w:r w:rsidRPr="000845C6">
        <w:rPr>
          <w:rFonts w:ascii="Palatino Linotype" w:eastAsia="Times New Roman" w:hAnsi="Palatino Linotype" w:cs="Arial"/>
          <w:b/>
          <w:bCs/>
          <w:i/>
          <w:color w:val="2F2F2F"/>
          <w:lang w:eastAsia="es-MX"/>
        </w:rPr>
        <w:t>Trigésimo cuarto.</w:t>
      </w:r>
      <w:r w:rsidRPr="000845C6">
        <w:rPr>
          <w:rFonts w:ascii="Palatino Linotype" w:eastAsia="Times New Roman" w:hAnsi="Palatino Linotype" w:cs="Arial"/>
          <w:i/>
          <w:color w:val="2F2F2F"/>
          <w:lang w:eastAsia="es-MX"/>
        </w:rPr>
        <w:t> El periodo máximo por el que podría reservarse la información será de cinco años. El periodo de reserva correrá a partir de la fecha en que el Comité de Transparencia confirme la clasificación del expediente o documento.</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 xml:space="preserve">Los titulares de las áreas deberán determinar que el plazo de reserva sea el estrictamente necesario para proteger la información mientras subsistan las causas que dieron origen </w:t>
      </w:r>
      <w:r w:rsidRPr="000845C6">
        <w:rPr>
          <w:rFonts w:ascii="Palatino Linotype" w:eastAsia="Times New Roman" w:hAnsi="Palatino Linotype" w:cs="Arial"/>
          <w:i/>
          <w:color w:val="2F2F2F"/>
          <w:lang w:eastAsia="es-MX"/>
        </w:rPr>
        <w:lastRenderedPageBreak/>
        <w:t>a la clasificación, salvaguardando el interés público protegido y tomarán en cuenta las razones que justifican el periodo de reserva establecido. Asimismo, deberán señalar las razones por las cuales se estableció el plazo de reserva determinado.</w:t>
      </w:r>
    </w:p>
    <w:p w:rsidR="000845C6" w:rsidRPr="000845C6" w:rsidRDefault="000845C6" w:rsidP="00146414">
      <w:pPr>
        <w:pStyle w:val="Prrafodelista"/>
        <w:spacing w:line="360" w:lineRule="auto"/>
        <w:ind w:left="567" w:right="567"/>
        <w:jc w:val="both"/>
        <w:rPr>
          <w:rFonts w:ascii="Palatino Linotype" w:eastAsia="Times New Roman" w:hAnsi="Palatino Linotype" w:cs="Arial"/>
          <w:i/>
          <w:color w:val="2F2F2F"/>
          <w:lang w:eastAsia="es-MX"/>
        </w:rPr>
      </w:pPr>
      <w:r w:rsidRPr="000845C6">
        <w:rPr>
          <w:rFonts w:ascii="Palatino Linotype" w:eastAsia="Times New Roman" w:hAnsi="Palatino Linotype" w:cs="Arial"/>
          <w:i/>
          <w:color w:val="2F2F2F"/>
          <w:lang w:eastAsia="es-MX"/>
        </w:rPr>
        <w:t>Excepcionalmente, los sujetos obligados, con la aprobación de su Comité de Transparencia, podrán ampliar el plazo de reserva hasta por un periodo de cinco años adicionales, siempre y cuando se justifique que subsisten las causas que dieron origen a su clasificación.</w:t>
      </w:r>
    </w:p>
    <w:p w:rsidR="00D95A22" w:rsidRPr="00E50F9E" w:rsidRDefault="00D95A22" w:rsidP="00D95A22">
      <w:pPr>
        <w:pStyle w:val="Prrafodelista"/>
        <w:spacing w:line="360" w:lineRule="auto"/>
        <w:ind w:left="360"/>
        <w:jc w:val="both"/>
        <w:rPr>
          <w:rFonts w:ascii="Palatino Linotype" w:eastAsia="MS Mincho" w:hAnsi="Palatino Linotype" w:cs="Times New Roman"/>
          <w:sz w:val="24"/>
          <w:szCs w:val="24"/>
          <w:lang w:eastAsia="es-ES"/>
        </w:rPr>
      </w:pPr>
    </w:p>
    <w:p w:rsidR="00146414" w:rsidRPr="00146414" w:rsidRDefault="00146414" w:rsidP="005974E5">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En el mismo orden de ideas, se deriva de la normatividad anteriormente señalada lo que se refiere el artículo 113 de la Ley General de Transparencia y Acceso a la Información Pública, la cual establece en su capítulo de la información reservada que:</w:t>
      </w:r>
    </w:p>
    <w:p w:rsidR="00146414" w:rsidRDefault="00146414" w:rsidP="00146414">
      <w:pPr>
        <w:pStyle w:val="Prrafodelista"/>
        <w:spacing w:line="360" w:lineRule="auto"/>
        <w:ind w:left="360"/>
        <w:jc w:val="both"/>
        <w:rPr>
          <w:rFonts w:ascii="Palatino Linotype" w:hAnsi="Palatino Linotype"/>
        </w:rPr>
      </w:pPr>
    </w:p>
    <w:p w:rsidR="00146414" w:rsidRPr="0099284A" w:rsidRDefault="0099284A" w:rsidP="0099284A">
      <w:pPr>
        <w:pStyle w:val="Prrafodelista"/>
        <w:tabs>
          <w:tab w:val="left" w:pos="8222"/>
        </w:tabs>
        <w:spacing w:line="360" w:lineRule="auto"/>
        <w:ind w:left="567" w:right="567"/>
        <w:jc w:val="both"/>
        <w:rPr>
          <w:rFonts w:ascii="Palatino Linotype" w:hAnsi="Palatino Linotype"/>
          <w:i/>
        </w:rPr>
      </w:pPr>
      <w:r>
        <w:rPr>
          <w:rFonts w:ascii="Palatino Linotype" w:hAnsi="Palatino Linotype"/>
          <w:i/>
        </w:rPr>
        <w:t>“</w:t>
      </w:r>
      <w:r w:rsidR="00146414" w:rsidRPr="0099284A">
        <w:rPr>
          <w:rFonts w:ascii="Palatino Linotype" w:hAnsi="Palatino Linotype"/>
          <w:i/>
        </w:rPr>
        <w:t>Artículo 113. Como información reservada podrá clasificarse aquella cuya publicación:</w:t>
      </w:r>
    </w:p>
    <w:p w:rsidR="00146414" w:rsidRPr="0099284A" w:rsidRDefault="00146414" w:rsidP="0099284A">
      <w:pPr>
        <w:pStyle w:val="Prrafodelista"/>
        <w:tabs>
          <w:tab w:val="left" w:pos="8222"/>
        </w:tabs>
        <w:spacing w:line="360" w:lineRule="auto"/>
        <w:ind w:left="567" w:right="567"/>
        <w:jc w:val="both"/>
        <w:rPr>
          <w:rFonts w:ascii="Palatino Linotype" w:hAnsi="Palatino Linotype"/>
          <w:i/>
        </w:rPr>
      </w:pPr>
      <w:r w:rsidRPr="0099284A">
        <w:rPr>
          <w:rFonts w:ascii="Palatino Linotype" w:hAnsi="Palatino Linotype"/>
          <w:i/>
        </w:rPr>
        <w:t>(…)</w:t>
      </w:r>
    </w:p>
    <w:p w:rsidR="00146414" w:rsidRPr="0099284A" w:rsidRDefault="00146414" w:rsidP="0099284A">
      <w:pPr>
        <w:pStyle w:val="Prrafodelista"/>
        <w:tabs>
          <w:tab w:val="left" w:pos="8222"/>
        </w:tabs>
        <w:spacing w:line="360" w:lineRule="auto"/>
        <w:ind w:left="567" w:right="567"/>
        <w:jc w:val="both"/>
        <w:rPr>
          <w:rFonts w:ascii="Palatino Linotype" w:hAnsi="Palatino Linotype"/>
          <w:i/>
        </w:rPr>
      </w:pPr>
      <w:r w:rsidRPr="0099284A">
        <w:rPr>
          <w:rFonts w:ascii="Palatino Linotype" w:hAnsi="Palatino Linotype"/>
          <w:i/>
        </w:rPr>
        <w:t>VI. Obstruya las actividades de verificación, inspección y auditoría relativas al cumplimiento de las leyes o afecte la</w:t>
      </w:r>
      <w:r w:rsidR="0099284A">
        <w:rPr>
          <w:rFonts w:ascii="Palatino Linotype" w:hAnsi="Palatino Linotype"/>
          <w:i/>
        </w:rPr>
        <w:t xml:space="preserve"> recaudación de contribuciones”</w:t>
      </w:r>
    </w:p>
    <w:p w:rsidR="00FD2223" w:rsidRPr="002811EE" w:rsidRDefault="00146414" w:rsidP="002811EE">
      <w:pPr>
        <w:pStyle w:val="Prrafodelista"/>
        <w:tabs>
          <w:tab w:val="left" w:pos="8222"/>
        </w:tabs>
        <w:spacing w:line="360" w:lineRule="auto"/>
        <w:ind w:left="567" w:right="567"/>
        <w:jc w:val="both"/>
        <w:rPr>
          <w:rFonts w:ascii="Palatino Linotype" w:hAnsi="Palatino Linotype"/>
          <w:i/>
        </w:rPr>
      </w:pPr>
      <w:r w:rsidRPr="0099284A">
        <w:rPr>
          <w:rFonts w:ascii="Palatino Linotype" w:hAnsi="Palatino Linotype"/>
          <w:i/>
        </w:rPr>
        <w:t xml:space="preserve">(…) </w:t>
      </w:r>
    </w:p>
    <w:p w:rsidR="00D90182" w:rsidRDefault="00FD2223" w:rsidP="00FD2223">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De lo previo, </w:t>
      </w:r>
      <w:r w:rsidR="00E50F9E" w:rsidRPr="00FD2223">
        <w:rPr>
          <w:rFonts w:ascii="Palatino Linotype" w:eastAsia="MS Mincho" w:hAnsi="Palatino Linotype" w:cs="Times New Roman"/>
          <w:sz w:val="24"/>
          <w:szCs w:val="24"/>
          <w:lang w:eastAsia="es-ES"/>
        </w:rPr>
        <w:t xml:space="preserve">se desprende que el </w:t>
      </w:r>
      <w:r w:rsidR="00E50F9E" w:rsidRPr="00FD2223">
        <w:rPr>
          <w:rFonts w:ascii="Palatino Linotype" w:eastAsia="MS Mincho" w:hAnsi="Palatino Linotype" w:cs="Times New Roman"/>
          <w:b/>
          <w:sz w:val="24"/>
          <w:szCs w:val="24"/>
          <w:lang w:eastAsia="es-ES"/>
        </w:rPr>
        <w:t>SUJETO OBLIGADO</w:t>
      </w:r>
      <w:r>
        <w:rPr>
          <w:rFonts w:ascii="Palatino Linotype" w:eastAsia="MS Mincho" w:hAnsi="Palatino Linotype" w:cs="Times New Roman"/>
          <w:sz w:val="24"/>
          <w:szCs w:val="24"/>
          <w:lang w:eastAsia="es-ES"/>
        </w:rPr>
        <w:t xml:space="preserve"> señala</w:t>
      </w:r>
      <w:r w:rsidR="00E50F9E" w:rsidRPr="00FD2223">
        <w:rPr>
          <w:rFonts w:ascii="Palatino Linotype" w:eastAsia="MS Mincho" w:hAnsi="Palatino Linotype" w:cs="Times New Roman"/>
          <w:sz w:val="24"/>
          <w:szCs w:val="24"/>
          <w:lang w:eastAsia="es-ES"/>
        </w:rPr>
        <w:t xml:space="preserve"> que </w:t>
      </w:r>
      <w:r>
        <w:rPr>
          <w:rFonts w:ascii="Palatino Linotype" w:eastAsia="MS Mincho" w:hAnsi="Palatino Linotype" w:cs="Times New Roman"/>
          <w:sz w:val="24"/>
          <w:szCs w:val="24"/>
          <w:lang w:eastAsia="es-ES"/>
        </w:rPr>
        <w:t xml:space="preserve">la clasificación de la información como </w:t>
      </w:r>
      <w:r w:rsidR="00E50F9E" w:rsidRPr="00FD2223">
        <w:rPr>
          <w:rFonts w:ascii="Palatino Linotype" w:eastAsia="MS Mincho" w:hAnsi="Palatino Linotype" w:cs="Times New Roman"/>
          <w:sz w:val="24"/>
          <w:szCs w:val="24"/>
          <w:lang w:eastAsia="es-ES"/>
        </w:rPr>
        <w:t xml:space="preserve">reservada </w:t>
      </w:r>
      <w:r>
        <w:rPr>
          <w:rFonts w:ascii="Palatino Linotype" w:eastAsia="MS Mincho" w:hAnsi="Palatino Linotype" w:cs="Times New Roman"/>
          <w:sz w:val="24"/>
          <w:szCs w:val="24"/>
          <w:lang w:eastAsia="es-ES"/>
        </w:rPr>
        <w:t xml:space="preserve">obedece a </w:t>
      </w:r>
      <w:r w:rsidR="00E50F9E" w:rsidRPr="00FD2223">
        <w:rPr>
          <w:rFonts w:ascii="Palatino Linotype" w:eastAsia="MS Mincho" w:hAnsi="Palatino Linotype" w:cs="Times New Roman"/>
          <w:sz w:val="24"/>
          <w:szCs w:val="24"/>
          <w:lang w:eastAsia="es-ES"/>
        </w:rPr>
        <w:t>que</w:t>
      </w:r>
      <w:r>
        <w:rPr>
          <w:rFonts w:ascii="Palatino Linotype" w:eastAsia="MS Mincho" w:hAnsi="Palatino Linotype" w:cs="Times New Roman"/>
          <w:sz w:val="24"/>
          <w:szCs w:val="24"/>
          <w:lang w:eastAsia="es-ES"/>
        </w:rPr>
        <w:t xml:space="preserve"> su difusión causará</w:t>
      </w:r>
      <w:r w:rsidR="00E50F9E" w:rsidRPr="00FD2223">
        <w:rPr>
          <w:rFonts w:ascii="Palatino Linotype" w:eastAsia="MS Mincho" w:hAnsi="Palatino Linotype" w:cs="Times New Roman"/>
          <w:sz w:val="24"/>
          <w:szCs w:val="24"/>
          <w:lang w:eastAsia="es-ES"/>
        </w:rPr>
        <w:t xml:space="preserve"> un daño serio a las actividades de fiscalización, verificación, inspección de recaudación de contribuciones. En ese sentido, </w:t>
      </w:r>
      <w:r>
        <w:rPr>
          <w:rFonts w:ascii="Palatino Linotype" w:eastAsia="MS Mincho" w:hAnsi="Palatino Linotype" w:cs="Times New Roman"/>
          <w:sz w:val="24"/>
          <w:szCs w:val="24"/>
          <w:lang w:eastAsia="es-ES"/>
        </w:rPr>
        <w:t xml:space="preserve">es elementar indicar que </w:t>
      </w:r>
      <w:r w:rsidR="00E50F9E" w:rsidRPr="00FD2223">
        <w:rPr>
          <w:rFonts w:ascii="Palatino Linotype" w:eastAsia="MS Mincho" w:hAnsi="Palatino Linotype" w:cs="Times New Roman"/>
          <w:sz w:val="24"/>
          <w:szCs w:val="24"/>
          <w:lang w:eastAsia="es-ES"/>
        </w:rPr>
        <w:t xml:space="preserve">para invocar la causal de reserva </w:t>
      </w:r>
      <w:r>
        <w:rPr>
          <w:rFonts w:ascii="Palatino Linotype" w:eastAsia="MS Mincho" w:hAnsi="Palatino Linotype" w:cs="Times New Roman"/>
          <w:sz w:val="24"/>
          <w:szCs w:val="24"/>
          <w:lang w:eastAsia="es-ES"/>
        </w:rPr>
        <w:t xml:space="preserve">se debe acreditar la actualización de los siguientes requisitos: </w:t>
      </w:r>
      <w:r w:rsidR="00D90182" w:rsidRPr="00FD2223">
        <w:rPr>
          <w:rFonts w:ascii="Palatino Linotype" w:eastAsia="MS Mincho" w:hAnsi="Palatino Linotype" w:cs="Times New Roman"/>
          <w:sz w:val="24"/>
          <w:szCs w:val="24"/>
          <w:lang w:eastAsia="es-ES"/>
        </w:rPr>
        <w:t xml:space="preserve"> </w:t>
      </w:r>
    </w:p>
    <w:p w:rsidR="00FD2223" w:rsidRPr="00FD2223" w:rsidRDefault="00FD2223" w:rsidP="00FD2223">
      <w:pPr>
        <w:pStyle w:val="Prrafodelista"/>
        <w:spacing w:line="360" w:lineRule="auto"/>
        <w:ind w:left="360"/>
        <w:jc w:val="both"/>
        <w:rPr>
          <w:rFonts w:ascii="Palatino Linotype" w:eastAsia="MS Mincho" w:hAnsi="Palatino Linotype" w:cs="Times New Roman"/>
          <w:sz w:val="24"/>
          <w:szCs w:val="24"/>
          <w:lang w:eastAsia="es-ES"/>
        </w:rPr>
      </w:pPr>
    </w:p>
    <w:p w:rsidR="00D90182" w:rsidRPr="00FD2223" w:rsidRDefault="00D90182" w:rsidP="008425DB">
      <w:pPr>
        <w:pStyle w:val="Prrafodelista"/>
        <w:spacing w:line="360" w:lineRule="auto"/>
        <w:ind w:left="567" w:right="567"/>
        <w:jc w:val="both"/>
        <w:rPr>
          <w:rFonts w:ascii="Palatino Linotype" w:eastAsia="MS Mincho" w:hAnsi="Palatino Linotype" w:cs="Times New Roman"/>
          <w:sz w:val="24"/>
          <w:szCs w:val="24"/>
          <w:lang w:eastAsia="es-ES"/>
        </w:rPr>
      </w:pPr>
      <w:r w:rsidRPr="00FD2223">
        <w:rPr>
          <w:rFonts w:ascii="Palatino Linotype" w:eastAsia="MS Mincho" w:hAnsi="Palatino Linotype" w:cs="Times New Roman"/>
          <w:sz w:val="24"/>
          <w:szCs w:val="24"/>
          <w:lang w:eastAsia="es-ES"/>
        </w:rPr>
        <w:t>1. La existencia de un juicio o procedimiento administrativo materialmente jurisdiccional.</w:t>
      </w:r>
    </w:p>
    <w:p w:rsidR="00D90182" w:rsidRPr="00FD2223" w:rsidRDefault="00D90182" w:rsidP="008425DB">
      <w:pPr>
        <w:pStyle w:val="Prrafodelista"/>
        <w:spacing w:line="360" w:lineRule="auto"/>
        <w:ind w:left="567" w:right="567"/>
        <w:jc w:val="both"/>
        <w:rPr>
          <w:rFonts w:ascii="Palatino Linotype" w:eastAsia="MS Mincho" w:hAnsi="Palatino Linotype" w:cs="Times New Roman"/>
          <w:sz w:val="24"/>
          <w:szCs w:val="24"/>
          <w:lang w:eastAsia="es-ES"/>
        </w:rPr>
      </w:pPr>
      <w:r w:rsidRPr="00FD2223">
        <w:rPr>
          <w:rFonts w:ascii="Palatino Linotype" w:eastAsia="MS Mincho" w:hAnsi="Palatino Linotype" w:cs="Times New Roman"/>
          <w:sz w:val="24"/>
          <w:szCs w:val="24"/>
          <w:lang w:eastAsia="es-ES"/>
        </w:rPr>
        <w:t>2. Que el juicio se encuentre en trámite, es decir, que no haya causado estado.</w:t>
      </w:r>
    </w:p>
    <w:p w:rsidR="00D90182" w:rsidRPr="00FD2223" w:rsidRDefault="00D90182" w:rsidP="008425DB">
      <w:pPr>
        <w:pStyle w:val="Prrafodelista"/>
        <w:spacing w:line="360" w:lineRule="auto"/>
        <w:ind w:left="567" w:right="567"/>
        <w:jc w:val="both"/>
        <w:rPr>
          <w:rFonts w:ascii="Palatino Linotype" w:eastAsia="MS Mincho" w:hAnsi="Palatino Linotype" w:cs="Times New Roman"/>
          <w:sz w:val="24"/>
          <w:szCs w:val="24"/>
          <w:lang w:eastAsia="es-ES"/>
        </w:rPr>
      </w:pPr>
      <w:r w:rsidRPr="00FD2223">
        <w:rPr>
          <w:rFonts w:ascii="Palatino Linotype" w:eastAsia="MS Mincho" w:hAnsi="Palatino Linotype" w:cs="Times New Roman"/>
          <w:sz w:val="24"/>
          <w:szCs w:val="24"/>
          <w:lang w:eastAsia="es-ES"/>
        </w:rPr>
        <w:t xml:space="preserve">3. </w:t>
      </w:r>
      <w:r w:rsidR="00FD2223">
        <w:rPr>
          <w:rFonts w:ascii="Palatino Linotype" w:eastAsia="MS Mincho" w:hAnsi="Palatino Linotype" w:cs="Times New Roman"/>
          <w:sz w:val="24"/>
          <w:szCs w:val="24"/>
          <w:lang w:eastAsia="es-ES"/>
        </w:rPr>
        <w:t>E</w:t>
      </w:r>
      <w:r w:rsidRPr="00FD2223">
        <w:rPr>
          <w:rFonts w:ascii="Palatino Linotype" w:eastAsia="MS Mincho" w:hAnsi="Palatino Linotype" w:cs="Times New Roman"/>
          <w:sz w:val="24"/>
          <w:szCs w:val="24"/>
          <w:lang w:eastAsia="es-ES"/>
        </w:rPr>
        <w:t>l vínculo entre la información solicitada y el procedim</w:t>
      </w:r>
      <w:r w:rsidR="000966F8">
        <w:rPr>
          <w:rFonts w:ascii="Palatino Linotype" w:eastAsia="MS Mincho" w:hAnsi="Palatino Linotype" w:cs="Times New Roman"/>
          <w:sz w:val="24"/>
          <w:szCs w:val="24"/>
          <w:lang w:eastAsia="es-ES"/>
        </w:rPr>
        <w:t>iento judicial de que se trate y;</w:t>
      </w:r>
    </w:p>
    <w:p w:rsidR="00D90182" w:rsidRPr="00FD2223" w:rsidRDefault="00D90182" w:rsidP="008425DB">
      <w:pPr>
        <w:pStyle w:val="Prrafodelista"/>
        <w:spacing w:line="360" w:lineRule="auto"/>
        <w:ind w:left="567" w:right="567"/>
        <w:jc w:val="both"/>
        <w:rPr>
          <w:rFonts w:ascii="Palatino Linotype" w:eastAsia="MS Mincho" w:hAnsi="Palatino Linotype" w:cs="Times New Roman"/>
          <w:sz w:val="24"/>
          <w:szCs w:val="24"/>
          <w:lang w:eastAsia="es-ES"/>
        </w:rPr>
      </w:pPr>
      <w:r w:rsidRPr="00FD2223">
        <w:rPr>
          <w:rFonts w:ascii="Palatino Linotype" w:eastAsia="MS Mincho" w:hAnsi="Palatino Linotype" w:cs="Times New Roman"/>
          <w:sz w:val="24"/>
          <w:szCs w:val="24"/>
          <w:lang w:eastAsia="es-ES"/>
        </w:rPr>
        <w:t xml:space="preserve">4. Que la difusión de la información pueda causar un daño y/o perjuicio a las atribuciones del Tribunal durante el juicio; es decir, que el contenido de la información vulnere, impida u obstruya los procedimientos que se ventilan. </w:t>
      </w:r>
    </w:p>
    <w:p w:rsidR="00D90182" w:rsidRPr="00FD2223" w:rsidRDefault="00D90182" w:rsidP="00D90182">
      <w:pPr>
        <w:pStyle w:val="Prrafodelista"/>
        <w:spacing w:line="360" w:lineRule="auto"/>
        <w:ind w:left="360"/>
        <w:jc w:val="both"/>
        <w:rPr>
          <w:rFonts w:ascii="Palatino Linotype" w:eastAsia="MS Mincho" w:hAnsi="Palatino Linotype" w:cs="Times New Roman"/>
          <w:sz w:val="24"/>
          <w:szCs w:val="24"/>
          <w:lang w:eastAsia="es-ES"/>
        </w:rPr>
      </w:pPr>
    </w:p>
    <w:p w:rsidR="00D90182" w:rsidRPr="00FD2223" w:rsidRDefault="00D90182" w:rsidP="00C43FB8">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sidRPr="00FD2223">
        <w:rPr>
          <w:rFonts w:ascii="Palatino Linotype" w:eastAsia="MS Mincho" w:hAnsi="Palatino Linotype" w:cs="Times New Roman"/>
          <w:sz w:val="24"/>
          <w:szCs w:val="24"/>
          <w:lang w:eastAsia="es-ES"/>
        </w:rPr>
        <w:t xml:space="preserve">Por lo que, precisado lo anterior, a continuación se analizarán cada uno de los requisitos señalados, con la finalidad de determinar si se configura la hipótesis de reserva </w:t>
      </w:r>
      <w:r w:rsidR="00FD2223">
        <w:rPr>
          <w:rFonts w:ascii="Palatino Linotype" w:eastAsia="MS Mincho" w:hAnsi="Palatino Linotype" w:cs="Times New Roman"/>
          <w:sz w:val="24"/>
          <w:szCs w:val="24"/>
          <w:lang w:eastAsia="es-ES"/>
        </w:rPr>
        <w:t xml:space="preserve">señalada por </w:t>
      </w:r>
      <w:r w:rsidRPr="00FD2223">
        <w:rPr>
          <w:rFonts w:ascii="Palatino Linotype" w:eastAsia="MS Mincho" w:hAnsi="Palatino Linotype" w:cs="Times New Roman"/>
          <w:sz w:val="24"/>
          <w:szCs w:val="24"/>
          <w:lang w:eastAsia="es-ES"/>
        </w:rPr>
        <w:t xml:space="preserve">el </w:t>
      </w:r>
      <w:r w:rsidRPr="00FD2223">
        <w:rPr>
          <w:rFonts w:ascii="Palatino Linotype" w:eastAsia="MS Mincho" w:hAnsi="Palatino Linotype" w:cs="Times New Roman"/>
          <w:b/>
          <w:sz w:val="24"/>
          <w:szCs w:val="24"/>
          <w:lang w:eastAsia="es-ES"/>
        </w:rPr>
        <w:t>SUJETO OBLIGADO.</w:t>
      </w:r>
      <w:r w:rsidRPr="00FD2223">
        <w:rPr>
          <w:rFonts w:ascii="Palatino Linotype" w:eastAsia="MS Mincho" w:hAnsi="Palatino Linotype" w:cs="Times New Roman"/>
          <w:sz w:val="24"/>
          <w:szCs w:val="24"/>
          <w:lang w:eastAsia="es-ES"/>
        </w:rPr>
        <w:t xml:space="preserve"> </w:t>
      </w:r>
    </w:p>
    <w:p w:rsidR="00D90182" w:rsidRPr="00FD2223" w:rsidRDefault="00D90182" w:rsidP="00C43FB8">
      <w:pPr>
        <w:pStyle w:val="Prrafodelista"/>
        <w:spacing w:line="360" w:lineRule="auto"/>
        <w:ind w:left="0"/>
        <w:jc w:val="both"/>
        <w:rPr>
          <w:rFonts w:ascii="Palatino Linotype" w:eastAsia="MS Mincho" w:hAnsi="Palatino Linotype" w:cs="Times New Roman"/>
          <w:sz w:val="24"/>
          <w:szCs w:val="24"/>
          <w:lang w:eastAsia="es-ES"/>
        </w:rPr>
      </w:pPr>
    </w:p>
    <w:p w:rsidR="00D90182" w:rsidRDefault="00D90182" w:rsidP="00C43FB8">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sidRPr="00FD2223">
        <w:rPr>
          <w:rFonts w:ascii="Palatino Linotype" w:eastAsia="MS Mincho" w:hAnsi="Palatino Linotype" w:cs="Times New Roman"/>
          <w:sz w:val="24"/>
          <w:szCs w:val="24"/>
          <w:lang w:eastAsia="es-ES"/>
        </w:rPr>
        <w:t xml:space="preserve">En cuanto al primero </w:t>
      </w:r>
      <w:r w:rsidR="00FD2223" w:rsidRPr="00FD2223">
        <w:rPr>
          <w:rFonts w:ascii="Palatino Linotype" w:eastAsia="MS Mincho" w:hAnsi="Palatino Linotype" w:cs="Times New Roman"/>
          <w:sz w:val="24"/>
          <w:szCs w:val="24"/>
          <w:lang w:eastAsia="es-ES"/>
        </w:rPr>
        <w:t xml:space="preserve">de los elementos, consistente en verificar </w:t>
      </w:r>
      <w:r w:rsidRPr="00FD2223">
        <w:rPr>
          <w:rFonts w:ascii="Palatino Linotype" w:eastAsia="MS Mincho" w:hAnsi="Palatino Linotype" w:cs="Times New Roman"/>
          <w:sz w:val="24"/>
          <w:szCs w:val="24"/>
          <w:lang w:eastAsia="es-ES"/>
        </w:rPr>
        <w:t xml:space="preserve">la existencia de un procedimiento </w:t>
      </w:r>
      <w:r w:rsidR="00FD2223">
        <w:rPr>
          <w:rFonts w:ascii="Palatino Linotype" w:eastAsia="MS Mincho" w:hAnsi="Palatino Linotype" w:cs="Times New Roman"/>
          <w:sz w:val="24"/>
          <w:szCs w:val="24"/>
          <w:lang w:eastAsia="es-ES"/>
        </w:rPr>
        <w:t xml:space="preserve">administrativo </w:t>
      </w:r>
      <w:r w:rsidR="00C43FB8">
        <w:rPr>
          <w:rFonts w:ascii="Palatino Linotype" w:eastAsia="MS Mincho" w:hAnsi="Palatino Linotype" w:cs="Times New Roman"/>
          <w:sz w:val="24"/>
          <w:szCs w:val="24"/>
          <w:lang w:eastAsia="es-ES"/>
        </w:rPr>
        <w:t xml:space="preserve">materialmente jurisdiccional, en el caso concreto, se procede a verificar si existe un procedimiento administrativo de ejecución (PAE) o procedimiento económico coactivo, siendo este el medio por el cual disponen las autoridades fiscales para exigir el pago de los créditos fiscales, que no hubieren sido cubiertos o garantizados dentro de los plazos señalados por la ley Fiscal correspondiente. Dicho procedimiento viene a constituir el </w:t>
      </w:r>
      <w:r w:rsidR="00C43FB8">
        <w:rPr>
          <w:rFonts w:ascii="Palatino Linotype" w:eastAsia="MS Mincho" w:hAnsi="Palatino Linotype" w:cs="Times New Roman"/>
          <w:sz w:val="24"/>
          <w:szCs w:val="24"/>
          <w:lang w:eastAsia="es-ES"/>
        </w:rPr>
        <w:lastRenderedPageBreak/>
        <w:t xml:space="preserve">requerimiento de pago y para que la autoridad fiscal esté jurídicamente en posibilidad de iniciar el procedimiento administrativo se requiere que; exista la obligación de pago a un sujeto determinado, la obligación no haya sido debidamente liquidada, el crédito fiscal no haya sido notificado y; el crédito fiscal tenga jurídicamente el carácter de exigible. </w:t>
      </w:r>
    </w:p>
    <w:p w:rsidR="00C43FB8" w:rsidRPr="00C43FB8" w:rsidRDefault="00C43FB8" w:rsidP="00C43FB8">
      <w:pPr>
        <w:pStyle w:val="Prrafodelista"/>
        <w:ind w:left="0"/>
        <w:rPr>
          <w:rFonts w:ascii="Palatino Linotype" w:eastAsia="MS Mincho" w:hAnsi="Palatino Linotype" w:cs="Times New Roman"/>
          <w:sz w:val="24"/>
          <w:szCs w:val="24"/>
          <w:lang w:eastAsia="es-ES"/>
        </w:rPr>
      </w:pPr>
    </w:p>
    <w:p w:rsidR="00C43FB8" w:rsidRDefault="00C43FB8" w:rsidP="008425DB">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Por lo que del estudio realizado para verificar la existencia del Procedimiento Administrativo de Ejecución, se determinó q</w:t>
      </w:r>
      <w:r w:rsidR="008425DB">
        <w:rPr>
          <w:rFonts w:ascii="Palatino Linotype" w:eastAsia="MS Mincho" w:hAnsi="Palatino Linotype" w:cs="Times New Roman"/>
          <w:sz w:val="24"/>
          <w:szCs w:val="24"/>
          <w:lang w:eastAsia="es-ES"/>
        </w:rPr>
        <w:t xml:space="preserve">ue en el caso concreto, no existe en razón a que en primer término el </w:t>
      </w:r>
      <w:r w:rsidR="008425DB" w:rsidRPr="008425DB">
        <w:rPr>
          <w:rFonts w:ascii="Palatino Linotype" w:eastAsia="MS Mincho" w:hAnsi="Palatino Linotype" w:cs="Times New Roman"/>
          <w:b/>
          <w:sz w:val="24"/>
          <w:szCs w:val="24"/>
          <w:lang w:eastAsia="es-ES"/>
        </w:rPr>
        <w:t>SUJETO OBLIGADO</w:t>
      </w:r>
      <w:r w:rsidR="008425DB">
        <w:rPr>
          <w:rFonts w:ascii="Palatino Linotype" w:eastAsia="MS Mincho" w:hAnsi="Palatino Linotype" w:cs="Times New Roman"/>
          <w:sz w:val="24"/>
          <w:szCs w:val="24"/>
          <w:lang w:eastAsia="es-ES"/>
        </w:rPr>
        <w:t xml:space="preserve">, en ningún momento lo </w:t>
      </w:r>
      <w:r w:rsidR="00DA6915">
        <w:rPr>
          <w:rFonts w:ascii="Palatino Linotype" w:eastAsia="MS Mincho" w:hAnsi="Palatino Linotype" w:cs="Times New Roman"/>
          <w:sz w:val="24"/>
          <w:szCs w:val="24"/>
          <w:lang w:eastAsia="es-ES"/>
        </w:rPr>
        <w:t xml:space="preserve">refiere </w:t>
      </w:r>
      <w:r w:rsidR="008425DB">
        <w:rPr>
          <w:rFonts w:ascii="Palatino Linotype" w:eastAsia="MS Mincho" w:hAnsi="Palatino Linotype" w:cs="Times New Roman"/>
          <w:sz w:val="24"/>
          <w:szCs w:val="24"/>
          <w:lang w:eastAsia="es-ES"/>
        </w:rPr>
        <w:t xml:space="preserve">en su respuesta y asimismo no es estudiado en su acuerdo de clasificación y por otro lado, el convenio es el instrumento idóneo por el cual se concluye un litigio. </w:t>
      </w:r>
    </w:p>
    <w:p w:rsidR="008425DB" w:rsidRPr="008425DB" w:rsidRDefault="008425DB" w:rsidP="008425DB">
      <w:pPr>
        <w:pStyle w:val="Prrafodelista"/>
        <w:rPr>
          <w:rFonts w:ascii="Palatino Linotype" w:eastAsia="MS Mincho" w:hAnsi="Palatino Linotype" w:cs="Times New Roman"/>
          <w:sz w:val="24"/>
          <w:szCs w:val="24"/>
          <w:lang w:eastAsia="es-ES"/>
        </w:rPr>
      </w:pPr>
    </w:p>
    <w:p w:rsidR="00C43FB8" w:rsidRDefault="008425DB" w:rsidP="00C43FB8">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Por lo anterior, se determina que la primera hipótesis de clasificación de la información como reservada, no se configura y por ende no es acreditada. </w:t>
      </w:r>
    </w:p>
    <w:p w:rsidR="008425DB" w:rsidRPr="008425DB" w:rsidRDefault="008425DB" w:rsidP="008425DB">
      <w:pPr>
        <w:pStyle w:val="Prrafodelista"/>
        <w:spacing w:line="360" w:lineRule="auto"/>
        <w:ind w:left="0"/>
        <w:jc w:val="both"/>
        <w:rPr>
          <w:rFonts w:ascii="Palatino Linotype" w:eastAsia="MS Mincho" w:hAnsi="Palatino Linotype" w:cs="Times New Roman"/>
          <w:sz w:val="24"/>
          <w:szCs w:val="24"/>
          <w:lang w:eastAsia="es-ES"/>
        </w:rPr>
      </w:pPr>
    </w:p>
    <w:p w:rsidR="00D90182" w:rsidRPr="007303F8" w:rsidRDefault="008425DB" w:rsidP="007303F8">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P</w:t>
      </w:r>
      <w:r w:rsidR="00D90182" w:rsidRPr="00FD2223">
        <w:rPr>
          <w:rFonts w:ascii="Palatino Linotype" w:eastAsia="MS Mincho" w:hAnsi="Palatino Linotype" w:cs="Times New Roman"/>
          <w:sz w:val="24"/>
          <w:szCs w:val="24"/>
          <w:lang w:eastAsia="es-ES"/>
        </w:rPr>
        <w:t>or lo que hace al segundo</w:t>
      </w:r>
      <w:r>
        <w:rPr>
          <w:rFonts w:ascii="Palatino Linotype" w:eastAsia="MS Mincho" w:hAnsi="Palatino Linotype" w:cs="Times New Roman"/>
          <w:sz w:val="24"/>
          <w:szCs w:val="24"/>
          <w:lang w:eastAsia="es-ES"/>
        </w:rPr>
        <w:t xml:space="preserve"> de </w:t>
      </w:r>
      <w:r w:rsidR="007303F8">
        <w:rPr>
          <w:rFonts w:ascii="Palatino Linotype" w:eastAsia="MS Mincho" w:hAnsi="Palatino Linotype" w:cs="Times New Roman"/>
          <w:sz w:val="24"/>
          <w:szCs w:val="24"/>
          <w:lang w:eastAsia="es-ES"/>
        </w:rPr>
        <w:t>los elementos que deriva de</w:t>
      </w:r>
      <w:r>
        <w:rPr>
          <w:rFonts w:ascii="Palatino Linotype" w:eastAsia="MS Mincho" w:hAnsi="Palatino Linotype" w:cs="Times New Roman"/>
          <w:sz w:val="24"/>
          <w:szCs w:val="24"/>
          <w:lang w:eastAsia="es-ES"/>
        </w:rPr>
        <w:t xml:space="preserve"> acreditar que el juicio no haya causado estado</w:t>
      </w:r>
      <w:r w:rsidR="00984BF9">
        <w:rPr>
          <w:rFonts w:ascii="Palatino Linotype" w:eastAsia="MS Mincho" w:hAnsi="Palatino Linotype" w:cs="Times New Roman"/>
          <w:sz w:val="24"/>
          <w:szCs w:val="24"/>
          <w:lang w:eastAsia="es-ES"/>
        </w:rPr>
        <w:t xml:space="preserve"> y se encuentre en tr</w:t>
      </w:r>
      <w:r w:rsidR="007303F8">
        <w:rPr>
          <w:rFonts w:ascii="Palatino Linotype" w:eastAsia="MS Mincho" w:hAnsi="Palatino Linotype" w:cs="Times New Roman"/>
          <w:sz w:val="24"/>
          <w:szCs w:val="24"/>
          <w:lang w:eastAsia="es-ES"/>
        </w:rPr>
        <w:t xml:space="preserve">ámite, no se soslaya que las actuaciones previas del ISSEMYM pudieron constituir el Procedimiento Administrativo de Ejecución, empero, la existencia </w:t>
      </w:r>
      <w:r w:rsidR="007303F8" w:rsidRPr="007303F8">
        <w:rPr>
          <w:rFonts w:ascii="Palatino Linotype" w:eastAsia="MS Mincho" w:hAnsi="Palatino Linotype" w:cs="Times New Roman"/>
          <w:sz w:val="24"/>
          <w:szCs w:val="24"/>
          <w:lang w:eastAsia="es-ES"/>
        </w:rPr>
        <w:t xml:space="preserve">del convenio adoptado por voluntad de las partes, no fue contravenido ni impugnado, por lo que se determina que el trámite para la solución de la contienda ha concluido y lo que se encuentra en proceso es el cumplimiento de lo emanado por el mismo. </w:t>
      </w:r>
    </w:p>
    <w:p w:rsidR="007303F8" w:rsidRPr="007303F8" w:rsidRDefault="007303F8" w:rsidP="007303F8">
      <w:pPr>
        <w:pStyle w:val="Prrafodelista"/>
        <w:rPr>
          <w:rFonts w:ascii="Palatino Linotype" w:eastAsia="MS Mincho" w:hAnsi="Palatino Linotype" w:cs="Times New Roman"/>
          <w:sz w:val="24"/>
          <w:szCs w:val="24"/>
          <w:lang w:eastAsia="es-ES"/>
        </w:rPr>
      </w:pPr>
    </w:p>
    <w:p w:rsidR="007303F8" w:rsidRDefault="007303F8" w:rsidP="008425DB">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lastRenderedPageBreak/>
        <w:t xml:space="preserve">Por consiguiente, se determina que la segunda hipótesis para reservar la información, tampoco ha sido configurada ni acreditada. </w:t>
      </w:r>
    </w:p>
    <w:p w:rsidR="007303F8" w:rsidRPr="007303F8" w:rsidRDefault="007303F8" w:rsidP="007303F8">
      <w:pPr>
        <w:pStyle w:val="Prrafodelista"/>
        <w:rPr>
          <w:rFonts w:ascii="Palatino Linotype" w:eastAsia="MS Mincho" w:hAnsi="Palatino Linotype" w:cs="Times New Roman"/>
          <w:sz w:val="24"/>
          <w:szCs w:val="24"/>
          <w:lang w:eastAsia="es-ES"/>
        </w:rPr>
      </w:pPr>
    </w:p>
    <w:p w:rsidR="00CE773C" w:rsidRDefault="007303F8" w:rsidP="00CE77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Respecto del tercero de los elementos que busca configurar el vínculo entre la información solicitada y el </w:t>
      </w:r>
      <w:r w:rsidR="00CE773C">
        <w:rPr>
          <w:rFonts w:ascii="Palatino Linotype" w:eastAsia="MS Mincho" w:hAnsi="Palatino Linotype" w:cs="Times New Roman"/>
          <w:sz w:val="24"/>
          <w:szCs w:val="24"/>
          <w:lang w:eastAsia="es-ES"/>
        </w:rPr>
        <w:t xml:space="preserve">procedimiento del que se trate, es evidente que el procedimiento pretendía determinar adeudos y establecer un calendario de pagos, por lo que al existir el vínculo entre la información solicitada y en este caso el procedimiento que dio origen al convenio, se confirma que fue acreditado el tercero de los requisitos para reservar la información. </w:t>
      </w:r>
    </w:p>
    <w:p w:rsidR="00CE773C" w:rsidRPr="00CE773C" w:rsidRDefault="00CE773C" w:rsidP="00CE773C">
      <w:pPr>
        <w:pStyle w:val="Prrafodelista"/>
        <w:rPr>
          <w:rFonts w:ascii="Palatino Linotype" w:eastAsia="MS Mincho" w:hAnsi="Palatino Linotype" w:cs="Times New Roman"/>
          <w:sz w:val="24"/>
          <w:szCs w:val="24"/>
          <w:lang w:eastAsia="es-ES"/>
        </w:rPr>
      </w:pPr>
    </w:p>
    <w:p w:rsidR="00D60C42" w:rsidRDefault="0099284A" w:rsidP="00CE77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eastAsia="es-ES"/>
        </w:rPr>
      </w:pPr>
      <w:r w:rsidRPr="0099284A">
        <w:rPr>
          <w:rFonts w:ascii="Palatino Linotype" w:eastAsia="MS Mincho" w:hAnsi="Palatino Linotype" w:cs="Times New Roman"/>
          <w:sz w:val="24"/>
          <w:szCs w:val="24"/>
          <w:lang w:eastAsia="es-ES"/>
        </w:rPr>
        <w:t>En</w:t>
      </w:r>
      <w:r w:rsidR="005F5930" w:rsidRPr="0099284A">
        <w:rPr>
          <w:rFonts w:ascii="Palatino Linotype" w:eastAsia="MS Mincho" w:hAnsi="Palatino Linotype" w:cs="Times New Roman"/>
          <w:sz w:val="24"/>
          <w:szCs w:val="24"/>
          <w:lang w:eastAsia="es-ES"/>
        </w:rPr>
        <w:t xml:space="preserve"> lo</w:t>
      </w:r>
      <w:r w:rsidR="00CE773C" w:rsidRPr="0099284A">
        <w:rPr>
          <w:rFonts w:ascii="Palatino Linotype" w:eastAsia="MS Mincho" w:hAnsi="Palatino Linotype" w:cs="Times New Roman"/>
          <w:sz w:val="24"/>
          <w:szCs w:val="24"/>
          <w:lang w:eastAsia="es-ES"/>
        </w:rPr>
        <w:t xml:space="preserve"> que</w:t>
      </w:r>
      <w:r w:rsidR="00CE773C">
        <w:rPr>
          <w:rFonts w:ascii="Palatino Linotype" w:eastAsia="MS Mincho" w:hAnsi="Palatino Linotype" w:cs="Times New Roman"/>
          <w:sz w:val="24"/>
          <w:szCs w:val="24"/>
          <w:lang w:eastAsia="es-ES"/>
        </w:rPr>
        <w:t xml:space="preserve"> respecta a </w:t>
      </w:r>
      <w:r w:rsidR="00D60C42" w:rsidRPr="00CE773C">
        <w:rPr>
          <w:rFonts w:ascii="Palatino Linotype" w:eastAsia="MS Mincho" w:hAnsi="Palatino Linotype" w:cs="Times New Roman"/>
          <w:sz w:val="24"/>
          <w:szCs w:val="24"/>
          <w:lang w:eastAsia="es-ES"/>
        </w:rPr>
        <w:t xml:space="preserve">que la difusión de la información </w:t>
      </w:r>
      <w:r w:rsidR="005F5930">
        <w:rPr>
          <w:rFonts w:ascii="Palatino Linotype" w:eastAsia="MS Mincho" w:hAnsi="Palatino Linotype" w:cs="Times New Roman"/>
          <w:sz w:val="24"/>
          <w:szCs w:val="24"/>
          <w:lang w:eastAsia="es-ES"/>
        </w:rPr>
        <w:t>pueda causar un daño y/o per</w:t>
      </w:r>
      <w:r w:rsidR="00E00869">
        <w:rPr>
          <w:rFonts w:ascii="Palatino Linotype" w:eastAsia="MS Mincho" w:hAnsi="Palatino Linotype" w:cs="Times New Roman"/>
          <w:sz w:val="24"/>
          <w:szCs w:val="24"/>
          <w:lang w:eastAsia="es-ES"/>
        </w:rPr>
        <w:t>juicio, impida,</w:t>
      </w:r>
      <w:r w:rsidR="005F5930">
        <w:rPr>
          <w:rFonts w:ascii="Palatino Linotype" w:eastAsia="MS Mincho" w:hAnsi="Palatino Linotype" w:cs="Times New Roman"/>
          <w:sz w:val="24"/>
          <w:szCs w:val="24"/>
          <w:lang w:eastAsia="es-ES"/>
        </w:rPr>
        <w:t xml:space="preserve"> vulnere u obstruya los procedimientos que se ventilan, en este caso, que impida el cumplimiento del convenio, </w:t>
      </w:r>
      <w:r w:rsidR="00E00869">
        <w:rPr>
          <w:rFonts w:ascii="Palatino Linotype" w:eastAsia="MS Mincho" w:hAnsi="Palatino Linotype" w:cs="Times New Roman"/>
          <w:sz w:val="24"/>
          <w:szCs w:val="24"/>
          <w:lang w:eastAsia="es-ES"/>
        </w:rPr>
        <w:t xml:space="preserve">es indispensable señalar que en primer término en la constitución del convenio </w:t>
      </w:r>
      <w:r w:rsidR="00E00869" w:rsidRPr="00DA6915">
        <w:rPr>
          <w:rFonts w:ascii="Palatino Linotype" w:eastAsia="MS Mincho" w:hAnsi="Palatino Linotype" w:cs="Times New Roman"/>
          <w:b/>
          <w:sz w:val="24"/>
          <w:szCs w:val="24"/>
          <w:lang w:eastAsia="es-ES"/>
        </w:rPr>
        <w:t>no se previó una cláusula de secrecía</w:t>
      </w:r>
      <w:r w:rsidR="00E00869">
        <w:rPr>
          <w:rFonts w:ascii="Palatino Linotype" w:eastAsia="MS Mincho" w:hAnsi="Palatino Linotype" w:cs="Times New Roman"/>
          <w:sz w:val="24"/>
          <w:szCs w:val="24"/>
          <w:lang w:eastAsia="es-ES"/>
        </w:rPr>
        <w:t xml:space="preserve"> y en segundo término que en caso de incumplimiento a las obligaciones pactadas por las partes dentro del mismo, se señaló la cláusula de penalización donde se fija que a falta del pago al ISSEMYM, éste podrá realizar el cobro de la deuda de manera íntegra. Asimismo, se colige que el </w:t>
      </w:r>
      <w:r w:rsidR="00E00869" w:rsidRPr="00E00869">
        <w:rPr>
          <w:rFonts w:ascii="Palatino Linotype" w:eastAsia="MS Mincho" w:hAnsi="Palatino Linotype" w:cs="Times New Roman"/>
          <w:b/>
          <w:sz w:val="24"/>
          <w:szCs w:val="24"/>
          <w:lang w:eastAsia="es-ES"/>
        </w:rPr>
        <w:t>SUJETO OBLIGADO</w:t>
      </w:r>
      <w:r w:rsidR="00E00869">
        <w:rPr>
          <w:rFonts w:ascii="Palatino Linotype" w:eastAsia="MS Mincho" w:hAnsi="Palatino Linotype" w:cs="Times New Roman"/>
          <w:sz w:val="24"/>
          <w:szCs w:val="24"/>
          <w:lang w:eastAsia="es-ES"/>
        </w:rPr>
        <w:t xml:space="preserve"> supone que como consecuencia de la difusión de la información, se generaría el incumplimiento de pago, no obstante </w:t>
      </w:r>
      <w:r w:rsidR="000966F8">
        <w:rPr>
          <w:rFonts w:ascii="Palatino Linotype" w:eastAsia="MS Mincho" w:hAnsi="Palatino Linotype" w:cs="Times New Roman"/>
          <w:sz w:val="24"/>
          <w:szCs w:val="24"/>
          <w:lang w:eastAsia="es-ES"/>
        </w:rPr>
        <w:t>es indispensable aclarar que la</w:t>
      </w:r>
      <w:r w:rsidR="00E00869">
        <w:rPr>
          <w:rFonts w:ascii="Palatino Linotype" w:eastAsia="MS Mincho" w:hAnsi="Palatino Linotype" w:cs="Times New Roman"/>
          <w:sz w:val="24"/>
          <w:szCs w:val="24"/>
          <w:lang w:eastAsia="es-ES"/>
        </w:rPr>
        <w:t xml:space="preserve"> suposición se delimita únicamente a manifestar de manera subjetiva  un hecho </w:t>
      </w:r>
      <w:r w:rsidR="0077560D">
        <w:rPr>
          <w:rFonts w:ascii="Palatino Linotype" w:eastAsia="MS Mincho" w:hAnsi="Palatino Linotype" w:cs="Times New Roman"/>
          <w:sz w:val="24"/>
          <w:szCs w:val="24"/>
          <w:lang w:eastAsia="es-ES"/>
        </w:rPr>
        <w:t>incluso de realización incierta</w:t>
      </w:r>
      <w:r w:rsidR="00E00869">
        <w:rPr>
          <w:rFonts w:ascii="Palatino Linotype" w:eastAsia="MS Mincho" w:hAnsi="Palatino Linotype" w:cs="Times New Roman"/>
          <w:sz w:val="24"/>
          <w:szCs w:val="24"/>
          <w:lang w:eastAsia="es-ES"/>
        </w:rPr>
        <w:t xml:space="preserve">. </w:t>
      </w:r>
    </w:p>
    <w:p w:rsidR="00E00869" w:rsidRPr="00CE773C" w:rsidRDefault="00E00869" w:rsidP="00E00869">
      <w:pPr>
        <w:pStyle w:val="Prrafodelista"/>
        <w:spacing w:after="0" w:line="360" w:lineRule="auto"/>
        <w:ind w:left="0"/>
        <w:jc w:val="both"/>
        <w:rPr>
          <w:rFonts w:ascii="Palatino Linotype" w:eastAsia="MS Mincho" w:hAnsi="Palatino Linotype" w:cs="Times New Roman"/>
          <w:sz w:val="24"/>
          <w:szCs w:val="24"/>
          <w:lang w:eastAsia="es-ES"/>
        </w:rPr>
      </w:pPr>
    </w:p>
    <w:p w:rsidR="00D60C42" w:rsidRDefault="00E00869" w:rsidP="000966F8">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lastRenderedPageBreak/>
        <w:t>Luego entonces, se determin</w:t>
      </w:r>
      <w:r w:rsidR="000966F8">
        <w:rPr>
          <w:rFonts w:ascii="Palatino Linotype" w:eastAsia="MS Mincho" w:hAnsi="Palatino Linotype" w:cs="Times New Roman"/>
          <w:sz w:val="24"/>
          <w:szCs w:val="24"/>
          <w:lang w:eastAsia="es-ES"/>
        </w:rPr>
        <w:t xml:space="preserve">ó que no se configuró el cuarto elemento esencial para que sea procedente la clasificación de la información como reservada, debido a que no se acreditó la coincidencia de los </w:t>
      </w:r>
      <w:r w:rsidR="006D146D">
        <w:rPr>
          <w:rFonts w:ascii="Palatino Linotype" w:eastAsia="MS Mincho" w:hAnsi="Palatino Linotype" w:cs="Times New Roman"/>
          <w:sz w:val="24"/>
          <w:szCs w:val="24"/>
          <w:lang w:eastAsia="es-ES"/>
        </w:rPr>
        <w:t xml:space="preserve">hechos con el supuesto jurídico y como se trata de una conjunción copulativa se deben cumplir los 4 supuestos y en el presente caso no resultó procedente la clasificación, por lo que se tiene que los hechos no coinciden con el supuesto jurídico. </w:t>
      </w:r>
    </w:p>
    <w:p w:rsidR="000966F8" w:rsidRPr="000966F8" w:rsidRDefault="000966F8" w:rsidP="000966F8">
      <w:pPr>
        <w:pStyle w:val="Prrafodelista"/>
        <w:rPr>
          <w:rFonts w:ascii="Palatino Linotype" w:eastAsia="MS Mincho" w:hAnsi="Palatino Linotype" w:cs="Times New Roman"/>
          <w:sz w:val="24"/>
          <w:szCs w:val="24"/>
          <w:lang w:eastAsia="es-ES"/>
        </w:rPr>
      </w:pPr>
    </w:p>
    <w:p w:rsidR="006D146D" w:rsidRDefault="000966F8" w:rsidP="0099284A">
      <w:pPr>
        <w:pStyle w:val="Prrafodelista"/>
        <w:numPr>
          <w:ilvl w:val="0"/>
          <w:numId w:val="2"/>
        </w:numPr>
        <w:spacing w:after="0"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Del estudio minucioso del acuerdo de clasificación del </w:t>
      </w:r>
      <w:r w:rsidRPr="005974E5">
        <w:rPr>
          <w:rFonts w:ascii="Palatino Linotype" w:eastAsia="MS Mincho" w:hAnsi="Palatino Linotype" w:cs="Times New Roman"/>
          <w:b/>
          <w:sz w:val="24"/>
          <w:szCs w:val="24"/>
          <w:lang w:eastAsia="es-ES"/>
        </w:rPr>
        <w:t>SUJETO OBLIGADO,</w:t>
      </w:r>
      <w:r>
        <w:rPr>
          <w:rFonts w:ascii="Palatino Linotype" w:eastAsia="MS Mincho" w:hAnsi="Palatino Linotype" w:cs="Times New Roman"/>
          <w:sz w:val="24"/>
          <w:szCs w:val="24"/>
          <w:lang w:eastAsia="es-ES"/>
        </w:rPr>
        <w:t xml:space="preserve"> se asevera que éste no analizó correctamente las circunstancias de modo tiempo y lugar que configurarían la</w:t>
      </w:r>
      <w:r w:rsidR="0009442B">
        <w:rPr>
          <w:rFonts w:ascii="Palatino Linotype" w:eastAsia="MS Mincho" w:hAnsi="Palatino Linotype" w:cs="Times New Roman"/>
          <w:sz w:val="24"/>
          <w:szCs w:val="24"/>
          <w:lang w:eastAsia="es-ES"/>
        </w:rPr>
        <w:t xml:space="preserve"> procedencia de la clasificación como información </w:t>
      </w:r>
      <w:r>
        <w:rPr>
          <w:rFonts w:ascii="Palatino Linotype" w:eastAsia="MS Mincho" w:hAnsi="Palatino Linotype" w:cs="Times New Roman"/>
          <w:sz w:val="24"/>
          <w:szCs w:val="24"/>
          <w:lang w:eastAsia="es-ES"/>
        </w:rPr>
        <w:t xml:space="preserve"> reserva</w:t>
      </w:r>
      <w:r w:rsidR="0009442B">
        <w:rPr>
          <w:rFonts w:ascii="Palatino Linotype" w:eastAsia="MS Mincho" w:hAnsi="Palatino Linotype" w:cs="Times New Roman"/>
          <w:sz w:val="24"/>
          <w:szCs w:val="24"/>
          <w:lang w:eastAsia="es-ES"/>
        </w:rPr>
        <w:t>da</w:t>
      </w:r>
      <w:r>
        <w:rPr>
          <w:rFonts w:ascii="Palatino Linotype" w:eastAsia="MS Mincho" w:hAnsi="Palatino Linotype" w:cs="Times New Roman"/>
          <w:sz w:val="24"/>
          <w:szCs w:val="24"/>
          <w:lang w:eastAsia="es-ES"/>
        </w:rPr>
        <w:t>, por lo que sin haberse configurado cada u</w:t>
      </w:r>
      <w:r w:rsidR="006D146D">
        <w:rPr>
          <w:rFonts w:ascii="Palatino Linotype" w:eastAsia="MS Mincho" w:hAnsi="Palatino Linotype" w:cs="Times New Roman"/>
          <w:sz w:val="24"/>
          <w:szCs w:val="24"/>
          <w:lang w:eastAsia="es-ES"/>
        </w:rPr>
        <w:t xml:space="preserve">no de los requisitos señalados, no resulta procedente su clasificación, sin embargo suponiendo sin conceder que el acuerdo hubiese estado desarrollado con las formalidades establecidas en las leyes de la materia,  se vería afectado el derecho de acceso a  la información  del solicitante y de la ciudadanía puesto que este tipo de información atañe al interés público, a la Trasparencia de las actuaciones de las autoridades involucradas y a la rendición de cuentas, por lo que ni así este órgano garante hubiera confirmado una clasificación de la información de este tema. </w:t>
      </w:r>
    </w:p>
    <w:p w:rsidR="006D146D" w:rsidRPr="006D146D" w:rsidRDefault="006D146D" w:rsidP="006D146D">
      <w:pPr>
        <w:pStyle w:val="Prrafodelista"/>
        <w:rPr>
          <w:rFonts w:ascii="Palatino Linotype" w:eastAsia="MS Mincho" w:hAnsi="Palatino Linotype" w:cs="Times New Roman"/>
          <w:sz w:val="24"/>
          <w:szCs w:val="24"/>
          <w:lang w:eastAsia="es-ES"/>
        </w:rPr>
      </w:pPr>
    </w:p>
    <w:p w:rsidR="00BB1412" w:rsidRPr="00647E4C" w:rsidRDefault="000966F8" w:rsidP="0099284A">
      <w:pPr>
        <w:pStyle w:val="Prrafodelista"/>
        <w:numPr>
          <w:ilvl w:val="0"/>
          <w:numId w:val="2"/>
        </w:numPr>
        <w:spacing w:after="0"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Es indispensable manifestar </w:t>
      </w:r>
      <w:r w:rsidR="00BB1412">
        <w:rPr>
          <w:rFonts w:ascii="Palatino Linotype" w:eastAsia="MS Mincho" w:hAnsi="Palatino Linotype" w:cs="Times New Roman"/>
          <w:sz w:val="24"/>
          <w:szCs w:val="24"/>
          <w:lang w:eastAsia="es-ES"/>
        </w:rPr>
        <w:t xml:space="preserve">que el limitarse únicamente a realizar un estudio normativo de contraste con diversos ordenamientos jurídicos, es únicamente un ejercicio de argumentación, más no comprende, en estricto sentido un reclamo de </w:t>
      </w:r>
      <w:r w:rsidR="00BB1412">
        <w:rPr>
          <w:rFonts w:ascii="Palatino Linotype" w:eastAsia="MS Mincho" w:hAnsi="Palatino Linotype" w:cs="Times New Roman"/>
          <w:sz w:val="24"/>
          <w:szCs w:val="24"/>
          <w:lang w:eastAsia="es-ES"/>
        </w:rPr>
        <w:lastRenderedPageBreak/>
        <w:t xml:space="preserve">derechos subjetivos o en su caso una generación de derechos que requieran de un análisis sigilosos y confidencial del juzgador. </w:t>
      </w:r>
    </w:p>
    <w:p w:rsidR="006869D2" w:rsidRDefault="006869D2" w:rsidP="0099284A">
      <w:pPr>
        <w:pStyle w:val="Prrafodelista"/>
        <w:spacing w:after="0" w:line="360" w:lineRule="auto"/>
        <w:ind w:left="0"/>
        <w:jc w:val="both"/>
        <w:rPr>
          <w:rFonts w:ascii="Palatino Linotype" w:eastAsia="MS Mincho" w:hAnsi="Palatino Linotype" w:cs="Times New Roman"/>
          <w:sz w:val="24"/>
          <w:szCs w:val="24"/>
          <w:lang w:eastAsia="es-ES"/>
        </w:rPr>
      </w:pPr>
    </w:p>
    <w:p w:rsidR="00F54FB7" w:rsidRDefault="00BB1412" w:rsidP="002811EE">
      <w:pPr>
        <w:pStyle w:val="Prrafodelista"/>
        <w:numPr>
          <w:ilvl w:val="0"/>
          <w:numId w:val="18"/>
        </w:numPr>
        <w:spacing w:after="0" w:line="360" w:lineRule="auto"/>
        <w:ind w:left="709"/>
        <w:jc w:val="both"/>
        <w:rPr>
          <w:rFonts w:ascii="Palatino Linotype" w:eastAsia="MS Mincho" w:hAnsi="Palatino Linotype" w:cs="Times New Roman"/>
          <w:b/>
          <w:sz w:val="24"/>
          <w:szCs w:val="24"/>
          <w:lang w:eastAsia="es-ES"/>
        </w:rPr>
      </w:pPr>
      <w:r w:rsidRPr="00BB1412">
        <w:rPr>
          <w:rFonts w:ascii="Palatino Linotype" w:eastAsia="MS Mincho" w:hAnsi="Palatino Linotype" w:cs="Times New Roman"/>
          <w:b/>
          <w:sz w:val="24"/>
          <w:szCs w:val="24"/>
          <w:lang w:eastAsia="es-ES"/>
        </w:rPr>
        <w:t>De la prue</w:t>
      </w:r>
      <w:r w:rsidR="006718DE">
        <w:rPr>
          <w:rFonts w:ascii="Palatino Linotype" w:eastAsia="MS Mincho" w:hAnsi="Palatino Linotype" w:cs="Times New Roman"/>
          <w:b/>
          <w:sz w:val="24"/>
          <w:szCs w:val="24"/>
          <w:lang w:eastAsia="es-ES"/>
        </w:rPr>
        <w:t>ba de daño.</w:t>
      </w:r>
    </w:p>
    <w:p w:rsidR="00647E4C" w:rsidRDefault="00647E4C" w:rsidP="00647E4C">
      <w:pPr>
        <w:pStyle w:val="Prrafodelista"/>
        <w:spacing w:after="0" w:line="360" w:lineRule="auto"/>
        <w:ind w:left="709"/>
        <w:jc w:val="both"/>
        <w:rPr>
          <w:rFonts w:ascii="Palatino Linotype" w:eastAsia="MS Mincho" w:hAnsi="Palatino Linotype" w:cs="Times New Roman"/>
          <w:b/>
          <w:sz w:val="24"/>
          <w:szCs w:val="24"/>
          <w:lang w:eastAsia="es-ES"/>
        </w:rPr>
      </w:pPr>
    </w:p>
    <w:p w:rsidR="00F25BB4" w:rsidRPr="00C62761" w:rsidRDefault="00C62761" w:rsidP="00C62761">
      <w:pPr>
        <w:pStyle w:val="Prrafodelista"/>
        <w:numPr>
          <w:ilvl w:val="0"/>
          <w:numId w:val="2"/>
        </w:numPr>
        <w:spacing w:after="0" w:line="360" w:lineRule="auto"/>
        <w:ind w:left="0" w:firstLine="0"/>
        <w:jc w:val="both"/>
        <w:rPr>
          <w:rFonts w:ascii="Palatino Linotype" w:eastAsia="MS Mincho" w:hAnsi="Palatino Linotype" w:cs="Times New Roman"/>
          <w:b/>
          <w:sz w:val="24"/>
          <w:szCs w:val="24"/>
          <w:lang w:eastAsia="es-ES"/>
        </w:rPr>
      </w:pPr>
      <w:r>
        <w:rPr>
          <w:rFonts w:ascii="Palatino Linotype" w:eastAsia="MS Mincho" w:hAnsi="Palatino Linotype" w:cs="Times New Roman"/>
          <w:sz w:val="24"/>
          <w:szCs w:val="24"/>
          <w:lang w:eastAsia="es-ES"/>
        </w:rPr>
        <w:t>En principio</w:t>
      </w:r>
      <w:r w:rsidR="0043504A" w:rsidRPr="00C62761">
        <w:rPr>
          <w:rFonts w:ascii="Palatino Linotype" w:eastAsia="MS Mincho" w:hAnsi="Palatino Linotype" w:cs="Times New Roman"/>
          <w:sz w:val="24"/>
          <w:szCs w:val="24"/>
          <w:lang w:eastAsia="es-ES"/>
        </w:rPr>
        <w:t>, e</w:t>
      </w:r>
      <w:r w:rsidR="00647E4C" w:rsidRPr="00C62761">
        <w:rPr>
          <w:rFonts w:ascii="Palatino Linotype" w:eastAsia="MS Mincho" w:hAnsi="Palatino Linotype" w:cs="Times New Roman"/>
          <w:sz w:val="24"/>
          <w:szCs w:val="24"/>
          <w:lang w:eastAsia="es-ES"/>
        </w:rPr>
        <w:t>s</w:t>
      </w:r>
      <w:r w:rsidR="00F25BB4" w:rsidRPr="00C62761">
        <w:rPr>
          <w:rFonts w:ascii="Palatino Linotype" w:eastAsia="MS Mincho" w:hAnsi="Palatino Linotype" w:cs="Times New Roman"/>
          <w:sz w:val="24"/>
          <w:szCs w:val="24"/>
          <w:lang w:eastAsia="es-ES"/>
        </w:rPr>
        <w:t xml:space="preserve"> ineludible</w:t>
      </w:r>
      <w:r w:rsidR="00647E4C" w:rsidRPr="00C62761">
        <w:rPr>
          <w:rFonts w:ascii="Palatino Linotype" w:eastAsia="MS Mincho" w:hAnsi="Palatino Linotype" w:cs="Times New Roman"/>
          <w:sz w:val="24"/>
          <w:szCs w:val="24"/>
          <w:lang w:eastAsia="es-ES"/>
        </w:rPr>
        <w:t xml:space="preserve"> traer a colación</w:t>
      </w:r>
      <w:r w:rsidR="0043504A" w:rsidRPr="00C62761">
        <w:rPr>
          <w:rFonts w:ascii="Palatino Linotype" w:eastAsia="MS Mincho" w:hAnsi="Palatino Linotype" w:cs="Times New Roman"/>
          <w:sz w:val="24"/>
          <w:szCs w:val="24"/>
          <w:lang w:eastAsia="es-ES"/>
        </w:rPr>
        <w:t xml:space="preserve"> </w:t>
      </w:r>
      <w:r w:rsidR="00F25BB4" w:rsidRPr="00C62761">
        <w:rPr>
          <w:rFonts w:ascii="Palatino Linotype" w:eastAsia="MS Mincho" w:hAnsi="Palatino Linotype" w:cs="Times New Roman"/>
          <w:sz w:val="24"/>
          <w:szCs w:val="24"/>
          <w:lang w:eastAsia="es-ES"/>
        </w:rPr>
        <w:t>lo que señala la Sentencia dictada por la Corte Interamericana de Derechos Humanos</w:t>
      </w:r>
      <w:r>
        <w:rPr>
          <w:rFonts w:ascii="Palatino Linotype" w:eastAsia="MS Mincho" w:hAnsi="Palatino Linotype" w:cs="Times New Roman"/>
          <w:sz w:val="24"/>
          <w:szCs w:val="24"/>
          <w:lang w:eastAsia="es-ES"/>
        </w:rPr>
        <w:t xml:space="preserve"> el 19 de septiembre de 2006</w:t>
      </w:r>
      <w:r w:rsidR="00F25BB4" w:rsidRPr="00C62761">
        <w:rPr>
          <w:rFonts w:ascii="Palatino Linotype" w:eastAsia="MS Mincho" w:hAnsi="Palatino Linotype" w:cs="Times New Roman"/>
          <w:sz w:val="24"/>
          <w:szCs w:val="24"/>
          <w:lang w:eastAsia="es-ES"/>
        </w:rPr>
        <w:t xml:space="preserve"> referente al Caso Claude Reyes y otros vs Chile, la cual es un parteaguas fundamental en materia de acceso a la información pública pues en su sustanciación refiere que </w:t>
      </w:r>
      <w:r w:rsidR="00F25BB4" w:rsidRPr="00C62761">
        <w:rPr>
          <w:rFonts w:ascii="Palatino Linotype" w:eastAsia="MS Mincho" w:hAnsi="Palatino Linotype" w:cs="Times New Roman"/>
          <w:i/>
          <w:sz w:val="24"/>
          <w:szCs w:val="24"/>
          <w:lang w:eastAsia="es-ES"/>
        </w:rPr>
        <w:t xml:space="preserve">“la divulgación de la información en poder del Estado debe jugar un rol muy importante en una sociedad democrática, pues habilita a la sociedad civil para controlar las acciones del gobierno a quien </w:t>
      </w:r>
      <w:r w:rsidR="00022852" w:rsidRPr="00C62761">
        <w:rPr>
          <w:rFonts w:ascii="Palatino Linotype" w:eastAsia="MS Mincho" w:hAnsi="Palatino Linotype" w:cs="Times New Roman"/>
          <w:i/>
          <w:sz w:val="24"/>
          <w:szCs w:val="24"/>
          <w:lang w:eastAsia="es-ES"/>
        </w:rPr>
        <w:t>h</w:t>
      </w:r>
      <w:r w:rsidR="00F25BB4" w:rsidRPr="00C62761">
        <w:rPr>
          <w:rFonts w:ascii="Palatino Linotype" w:eastAsia="MS Mincho" w:hAnsi="Palatino Linotype" w:cs="Times New Roman"/>
          <w:i/>
          <w:sz w:val="24"/>
          <w:szCs w:val="24"/>
          <w:lang w:eastAsia="es-ES"/>
        </w:rPr>
        <w:t>a confiado la protección de sus intereses”</w:t>
      </w:r>
      <w:r w:rsidR="00F25BB4" w:rsidRPr="00C62761">
        <w:rPr>
          <w:rFonts w:ascii="Palatino Linotype" w:eastAsia="MS Mincho" w:hAnsi="Palatino Linotype" w:cs="Times New Roman"/>
          <w:sz w:val="24"/>
          <w:szCs w:val="24"/>
          <w:lang w:eastAsia="es-ES"/>
        </w:rPr>
        <w:t xml:space="preserve">  </w:t>
      </w:r>
      <w:r w:rsidR="00022852" w:rsidRPr="00C62761">
        <w:rPr>
          <w:rFonts w:ascii="Palatino Linotype" w:eastAsia="MS Mincho" w:hAnsi="Palatino Linotype" w:cs="Times New Roman"/>
          <w:sz w:val="24"/>
          <w:szCs w:val="24"/>
          <w:lang w:eastAsia="es-ES"/>
        </w:rPr>
        <w:t xml:space="preserve">por lo que, </w:t>
      </w:r>
      <w:r w:rsidR="00F25BB4" w:rsidRPr="00C62761">
        <w:rPr>
          <w:rFonts w:ascii="Palatino Linotype" w:eastAsia="MS Mincho" w:hAnsi="Palatino Linotype" w:cs="Times New Roman"/>
          <w:sz w:val="24"/>
          <w:szCs w:val="24"/>
          <w:lang w:eastAsia="es-ES"/>
        </w:rPr>
        <w:t>el que el Estado brinde el acceso a la información pública en su poder tal y como lo señala el artículo 13 de la Convención Am</w:t>
      </w:r>
      <w:r w:rsidR="00022852" w:rsidRPr="00C62761">
        <w:rPr>
          <w:rFonts w:ascii="Palatino Linotype" w:eastAsia="MS Mincho" w:hAnsi="Palatino Linotype" w:cs="Times New Roman"/>
          <w:sz w:val="24"/>
          <w:szCs w:val="24"/>
          <w:lang w:eastAsia="es-ES"/>
        </w:rPr>
        <w:t xml:space="preserve">ericana sobre Derechos Humanos </w:t>
      </w:r>
      <w:r w:rsidR="00022852" w:rsidRPr="00C62761">
        <w:rPr>
          <w:rFonts w:ascii="Palatino Linotype" w:eastAsia="MS Mincho" w:hAnsi="Palatino Linotype" w:cs="Times New Roman"/>
          <w:i/>
          <w:sz w:val="24"/>
          <w:szCs w:val="24"/>
          <w:lang w:eastAsia="es-ES"/>
        </w:rPr>
        <w:t>“es una obligación positiva para evitar abusos de los funcionarios gubernamentales, promover la rendición de cuentas y la transparencia dentro del Estado y permitir un debate público y solido o informado para asegurar la garantía de contar con recursos efectivos contra tales abusos”</w:t>
      </w:r>
      <w:r w:rsidR="00022852" w:rsidRPr="00C62761">
        <w:rPr>
          <w:rFonts w:ascii="Palatino Linotype" w:eastAsia="MS Mincho" w:hAnsi="Palatino Linotype" w:cs="Times New Roman"/>
          <w:sz w:val="24"/>
          <w:szCs w:val="24"/>
          <w:lang w:eastAsia="es-ES"/>
        </w:rPr>
        <w:t xml:space="preserve">. </w:t>
      </w:r>
    </w:p>
    <w:p w:rsidR="00022852" w:rsidRPr="00022852" w:rsidRDefault="00022852" w:rsidP="00022852">
      <w:pPr>
        <w:pStyle w:val="Prrafodelista"/>
        <w:spacing w:after="0" w:line="360" w:lineRule="auto"/>
        <w:ind w:left="0"/>
        <w:jc w:val="both"/>
        <w:rPr>
          <w:rFonts w:ascii="Palatino Linotype" w:eastAsia="MS Mincho" w:hAnsi="Palatino Linotype" w:cs="Times New Roman"/>
          <w:b/>
          <w:sz w:val="24"/>
          <w:szCs w:val="24"/>
          <w:lang w:eastAsia="es-ES"/>
        </w:rPr>
      </w:pPr>
    </w:p>
    <w:p w:rsidR="00022852" w:rsidRPr="0043504A" w:rsidRDefault="00022852" w:rsidP="0043504A">
      <w:pPr>
        <w:pStyle w:val="Prrafodelista"/>
        <w:numPr>
          <w:ilvl w:val="0"/>
          <w:numId w:val="2"/>
        </w:numPr>
        <w:spacing w:after="0" w:line="360" w:lineRule="auto"/>
        <w:ind w:left="0" w:firstLine="0"/>
        <w:jc w:val="both"/>
        <w:rPr>
          <w:rFonts w:ascii="Palatino Linotype" w:eastAsia="MS Mincho" w:hAnsi="Palatino Linotype" w:cs="Times New Roman"/>
          <w:b/>
          <w:sz w:val="24"/>
          <w:szCs w:val="24"/>
          <w:lang w:eastAsia="es-ES"/>
        </w:rPr>
      </w:pPr>
      <w:r>
        <w:rPr>
          <w:rFonts w:ascii="Palatino Linotype" w:eastAsia="MS Mincho" w:hAnsi="Palatino Linotype" w:cs="Times New Roman"/>
          <w:sz w:val="24"/>
          <w:szCs w:val="24"/>
          <w:lang w:eastAsia="es-ES"/>
        </w:rPr>
        <w:t xml:space="preserve">Asimismo dentro de su resolución detalla que la </w:t>
      </w:r>
      <w:r w:rsidRPr="00022852">
        <w:rPr>
          <w:rFonts w:ascii="Palatino Linotype" w:eastAsia="MS Mincho" w:hAnsi="Palatino Linotype" w:cs="Times New Roman"/>
          <w:i/>
          <w:sz w:val="24"/>
          <w:szCs w:val="24"/>
          <w:lang w:eastAsia="es-ES"/>
        </w:rPr>
        <w:t xml:space="preserve">“Asamblea General de la OEA en diversas resoluciones consideró que el acceso a la información pública es un requisito indispensable para el funcionamiento mismo de la democracia, una mayor transparencia y una buena gestión pública, y en un sistema democrático representativo y participativo, la </w:t>
      </w:r>
      <w:r w:rsidRPr="00022852">
        <w:rPr>
          <w:rFonts w:ascii="Palatino Linotype" w:eastAsia="MS Mincho" w:hAnsi="Palatino Linotype" w:cs="Times New Roman"/>
          <w:i/>
          <w:sz w:val="24"/>
          <w:szCs w:val="24"/>
          <w:lang w:eastAsia="es-ES"/>
        </w:rPr>
        <w:lastRenderedPageBreak/>
        <w:t>ciudadanía ejerce sus derechos constitucionales, a través de una amplia libertad de expresión y de un libre acceso a la información”</w:t>
      </w:r>
      <w:r>
        <w:rPr>
          <w:rFonts w:ascii="Palatino Linotype" w:eastAsia="MS Mincho" w:hAnsi="Palatino Linotype" w:cs="Times New Roman"/>
          <w:i/>
          <w:sz w:val="24"/>
          <w:szCs w:val="24"/>
          <w:lang w:eastAsia="es-ES"/>
        </w:rPr>
        <w:t xml:space="preserve"> </w:t>
      </w:r>
      <w:r>
        <w:rPr>
          <w:rFonts w:ascii="Palatino Linotype" w:eastAsia="MS Mincho" w:hAnsi="Palatino Linotype" w:cs="Times New Roman"/>
          <w:sz w:val="24"/>
          <w:szCs w:val="24"/>
          <w:lang w:eastAsia="es-ES"/>
        </w:rPr>
        <w:t xml:space="preserve">y en el mismo orden de ideas se colige que </w:t>
      </w:r>
      <w:r w:rsidRPr="00022852">
        <w:rPr>
          <w:rFonts w:ascii="Palatino Linotype" w:eastAsia="MS Mincho" w:hAnsi="Palatino Linotype" w:cs="Times New Roman"/>
          <w:b/>
          <w:i/>
          <w:sz w:val="24"/>
          <w:szCs w:val="24"/>
          <w:lang w:eastAsia="es-ES"/>
        </w:rPr>
        <w:t xml:space="preserve">“El actuar del Estado debe encontrarse regido por los principios de publicidad y transparencia en la gestión pública, lo que hace posible que las personas que se encuentran bajo su jurisdicción ejerzan el control democrático de las gestiones estatales, </w:t>
      </w:r>
      <w:r w:rsidRPr="00022852">
        <w:rPr>
          <w:rFonts w:ascii="Palatino Linotype" w:eastAsia="MS Mincho" w:hAnsi="Palatino Linotype" w:cs="Times New Roman"/>
          <w:b/>
          <w:i/>
          <w:sz w:val="24"/>
          <w:szCs w:val="24"/>
          <w:u w:val="single"/>
          <w:lang w:eastAsia="es-ES"/>
        </w:rPr>
        <w:t>de forma tal que puedan cuestionar, indagar y considerar si se está dando un adecuando cumplimiento de las funciones públicas</w:t>
      </w:r>
      <w:r w:rsidRPr="00022852">
        <w:rPr>
          <w:rFonts w:ascii="Palatino Linotype" w:eastAsia="MS Mincho" w:hAnsi="Palatino Linotype" w:cs="Times New Roman"/>
          <w:b/>
          <w:i/>
          <w:sz w:val="24"/>
          <w:szCs w:val="24"/>
          <w:lang w:eastAsia="es-ES"/>
        </w:rPr>
        <w:t xml:space="preserve">. El acceso a la información bajo el control del Estado, que sea de interés público, puede permitir la participación en la gestión pública, a través del control social que se pueda ejercer con dicho acceso”. </w:t>
      </w:r>
    </w:p>
    <w:p w:rsidR="00D21751" w:rsidRDefault="00D21751" w:rsidP="00D21751">
      <w:pPr>
        <w:pStyle w:val="Prrafodelista"/>
        <w:spacing w:line="360" w:lineRule="auto"/>
        <w:ind w:left="0"/>
        <w:jc w:val="both"/>
        <w:rPr>
          <w:rFonts w:ascii="Palatino Linotype" w:eastAsia="MS Mincho" w:hAnsi="Palatino Linotype" w:cs="Times New Roman"/>
          <w:sz w:val="24"/>
          <w:szCs w:val="24"/>
          <w:lang w:eastAsia="es-ES"/>
        </w:rPr>
      </w:pPr>
    </w:p>
    <w:p w:rsidR="005974E5" w:rsidRPr="002811EE" w:rsidRDefault="0043504A" w:rsidP="00022852">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Es por ello que, una vez</w:t>
      </w:r>
      <w:r w:rsidR="00D21751">
        <w:rPr>
          <w:rFonts w:ascii="Palatino Linotype" w:eastAsia="MS Mincho" w:hAnsi="Palatino Linotype" w:cs="Times New Roman"/>
          <w:sz w:val="24"/>
          <w:szCs w:val="24"/>
          <w:lang w:eastAsia="es-ES"/>
        </w:rPr>
        <w:t xml:space="preserve"> </w:t>
      </w:r>
      <w:r w:rsidR="00022852">
        <w:rPr>
          <w:rFonts w:ascii="Palatino Linotype" w:eastAsia="MS Mincho" w:hAnsi="Palatino Linotype" w:cs="Times New Roman"/>
          <w:sz w:val="24"/>
          <w:szCs w:val="24"/>
          <w:lang w:eastAsia="es-ES"/>
        </w:rPr>
        <w:t xml:space="preserve">señalado </w:t>
      </w:r>
      <w:r w:rsidR="00D21751">
        <w:rPr>
          <w:rFonts w:ascii="Palatino Linotype" w:eastAsia="MS Mincho" w:hAnsi="Palatino Linotype" w:cs="Times New Roman"/>
          <w:sz w:val="24"/>
          <w:szCs w:val="24"/>
          <w:lang w:eastAsia="es-ES"/>
        </w:rPr>
        <w:t xml:space="preserve">lo anterior y </w:t>
      </w:r>
      <w:r>
        <w:rPr>
          <w:rFonts w:ascii="Palatino Linotype" w:eastAsia="MS Mincho" w:hAnsi="Palatino Linotype" w:cs="Times New Roman"/>
          <w:sz w:val="24"/>
          <w:szCs w:val="24"/>
          <w:lang w:eastAsia="es-ES"/>
        </w:rPr>
        <w:t xml:space="preserve"> derivado de los </w:t>
      </w:r>
      <w:r w:rsidR="00D21751">
        <w:rPr>
          <w:rFonts w:ascii="Palatino Linotype" w:eastAsia="MS Mincho" w:hAnsi="Palatino Linotype" w:cs="Times New Roman"/>
          <w:sz w:val="24"/>
          <w:szCs w:val="24"/>
          <w:lang w:eastAsia="es-ES"/>
        </w:rPr>
        <w:t>conven</w:t>
      </w:r>
      <w:r>
        <w:rPr>
          <w:rFonts w:ascii="Palatino Linotype" w:eastAsia="MS Mincho" w:hAnsi="Palatino Linotype" w:cs="Times New Roman"/>
          <w:sz w:val="24"/>
          <w:szCs w:val="24"/>
          <w:lang w:eastAsia="es-ES"/>
        </w:rPr>
        <w:t xml:space="preserve">ios establecidos </w:t>
      </w:r>
      <w:r w:rsidR="00D21751">
        <w:rPr>
          <w:rFonts w:ascii="Palatino Linotype" w:eastAsia="MS Mincho" w:hAnsi="Palatino Linotype" w:cs="Times New Roman"/>
          <w:sz w:val="24"/>
          <w:szCs w:val="24"/>
          <w:lang w:eastAsia="es-ES"/>
        </w:rPr>
        <w:t xml:space="preserve">entre el ISSEMYM y las instituciones públicas para la liquidación del adeudo, </w:t>
      </w:r>
      <w:r w:rsidR="005974E5" w:rsidRPr="002811EE">
        <w:rPr>
          <w:rFonts w:ascii="Palatino Linotype" w:eastAsia="MS Mincho" w:hAnsi="Palatino Linotype" w:cs="Times New Roman"/>
          <w:sz w:val="24"/>
          <w:szCs w:val="24"/>
          <w:lang w:eastAsia="es-ES"/>
        </w:rPr>
        <w:t>se deriva</w:t>
      </w:r>
      <w:r>
        <w:rPr>
          <w:rFonts w:ascii="Palatino Linotype" w:eastAsia="MS Mincho" w:hAnsi="Palatino Linotype" w:cs="Times New Roman"/>
          <w:sz w:val="24"/>
          <w:szCs w:val="24"/>
          <w:lang w:eastAsia="es-ES"/>
        </w:rPr>
        <w:t xml:space="preserve"> que:</w:t>
      </w:r>
      <w:r w:rsidR="005974E5" w:rsidRPr="002811EE">
        <w:rPr>
          <w:rFonts w:ascii="Palatino Linotype" w:eastAsia="MS Mincho" w:hAnsi="Palatino Linotype" w:cs="Times New Roman"/>
          <w:sz w:val="24"/>
          <w:szCs w:val="24"/>
          <w:lang w:eastAsia="es-ES"/>
        </w:rPr>
        <w:t xml:space="preserve"> </w:t>
      </w:r>
    </w:p>
    <w:p w:rsidR="005974E5" w:rsidRPr="005974E5" w:rsidRDefault="005974E5" w:rsidP="005974E5">
      <w:pPr>
        <w:pStyle w:val="Prrafodelista"/>
        <w:rPr>
          <w:rFonts w:ascii="Palatino Linotype" w:eastAsia="MS Mincho" w:hAnsi="Palatino Linotype" w:cs="Times New Roman"/>
          <w:sz w:val="24"/>
          <w:szCs w:val="24"/>
          <w:lang w:eastAsia="es-ES"/>
        </w:rPr>
      </w:pPr>
    </w:p>
    <w:p w:rsidR="005974E5" w:rsidRDefault="005974E5" w:rsidP="0099284A">
      <w:pPr>
        <w:pStyle w:val="Prrafodelista"/>
        <w:numPr>
          <w:ilvl w:val="0"/>
          <w:numId w:val="13"/>
        </w:numPr>
        <w:spacing w:line="360" w:lineRule="auto"/>
        <w:ind w:left="567" w:righ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Los firmantes del convenio tenían la obligación de pagar sus cuotas e integrar lo retenido</w:t>
      </w:r>
      <w:r w:rsidR="00AF7E01">
        <w:rPr>
          <w:rFonts w:ascii="Palatino Linotype" w:eastAsia="MS Mincho" w:hAnsi="Palatino Linotype" w:cs="Times New Roman"/>
          <w:sz w:val="24"/>
          <w:szCs w:val="24"/>
          <w:lang w:eastAsia="es-ES"/>
        </w:rPr>
        <w:t>.</w:t>
      </w:r>
    </w:p>
    <w:p w:rsidR="005974E5" w:rsidRDefault="005974E5" w:rsidP="0099284A">
      <w:pPr>
        <w:pStyle w:val="Prrafodelista"/>
        <w:numPr>
          <w:ilvl w:val="0"/>
          <w:numId w:val="13"/>
        </w:numPr>
        <w:spacing w:line="360" w:lineRule="auto"/>
        <w:ind w:left="567" w:righ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El </w:t>
      </w:r>
      <w:r w:rsidR="00AF7E01">
        <w:rPr>
          <w:rFonts w:ascii="Palatino Linotype" w:eastAsia="MS Mincho" w:hAnsi="Palatino Linotype" w:cs="Times New Roman"/>
          <w:sz w:val="24"/>
          <w:szCs w:val="24"/>
          <w:lang w:eastAsia="es-ES"/>
        </w:rPr>
        <w:t xml:space="preserve">acceso a los convenios permitiría que las personas puedan verificar si las autoridades cumplieron o no con las obligaciones en materia de seguridad social. Donde evidentemente no lo hicieron y por ello la existencia de dichos convenios. </w:t>
      </w:r>
    </w:p>
    <w:p w:rsidR="00AF7E01" w:rsidRDefault="00AF7E01" w:rsidP="00AF7E01">
      <w:pPr>
        <w:pStyle w:val="Prrafodelista"/>
        <w:spacing w:line="360" w:lineRule="auto"/>
        <w:ind w:left="1364"/>
        <w:jc w:val="both"/>
        <w:rPr>
          <w:rFonts w:ascii="Palatino Linotype" w:eastAsia="MS Mincho" w:hAnsi="Palatino Linotype" w:cs="Times New Roman"/>
          <w:sz w:val="24"/>
          <w:szCs w:val="24"/>
          <w:lang w:eastAsia="es-ES"/>
        </w:rPr>
      </w:pPr>
    </w:p>
    <w:p w:rsidR="005974E5" w:rsidRDefault="00AF7E01" w:rsidP="0099284A">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lastRenderedPageBreak/>
        <w:t xml:space="preserve">Ahora bien, atendiendo al fundamento legal que el </w:t>
      </w:r>
      <w:r w:rsidRPr="00AF7E01">
        <w:rPr>
          <w:rFonts w:ascii="Palatino Linotype" w:eastAsia="MS Mincho" w:hAnsi="Palatino Linotype" w:cs="Times New Roman"/>
          <w:b/>
          <w:sz w:val="24"/>
          <w:szCs w:val="24"/>
          <w:lang w:eastAsia="es-ES"/>
        </w:rPr>
        <w:t xml:space="preserve">SUJETO OBLIGADO </w:t>
      </w:r>
      <w:r w:rsidR="006718DE">
        <w:rPr>
          <w:rFonts w:ascii="Palatino Linotype" w:eastAsia="MS Mincho" w:hAnsi="Palatino Linotype" w:cs="Times New Roman"/>
          <w:sz w:val="24"/>
          <w:szCs w:val="24"/>
          <w:lang w:eastAsia="es-ES"/>
        </w:rPr>
        <w:t xml:space="preserve">estableció siendo el </w:t>
      </w:r>
      <w:r w:rsidR="006718DE" w:rsidRPr="006D146D">
        <w:rPr>
          <w:rFonts w:ascii="Palatino Linotype" w:eastAsia="MS Mincho" w:hAnsi="Palatino Linotype" w:cs="Times New Roman"/>
          <w:b/>
          <w:sz w:val="24"/>
          <w:szCs w:val="24"/>
          <w:lang w:eastAsia="es-ES"/>
        </w:rPr>
        <w:t>trigésimo tercero de lo</w:t>
      </w:r>
      <w:r w:rsidR="00F44D54" w:rsidRPr="006D146D">
        <w:rPr>
          <w:rFonts w:ascii="Palatino Linotype" w:eastAsia="MS Mincho" w:hAnsi="Palatino Linotype" w:cs="Times New Roman"/>
          <w:b/>
          <w:sz w:val="24"/>
          <w:szCs w:val="24"/>
          <w:lang w:eastAsia="es-ES"/>
        </w:rPr>
        <w:t>s Lineamientos Generales en m</w:t>
      </w:r>
      <w:r w:rsidR="006718DE" w:rsidRPr="006D146D">
        <w:rPr>
          <w:rFonts w:ascii="Palatino Linotype" w:eastAsia="MS Mincho" w:hAnsi="Palatino Linotype" w:cs="Times New Roman"/>
          <w:b/>
          <w:sz w:val="24"/>
          <w:szCs w:val="24"/>
          <w:lang w:eastAsia="es-ES"/>
        </w:rPr>
        <w:t>ateria de Clasificación y Desclasificación de la Información</w:t>
      </w:r>
      <w:r w:rsidR="006718DE">
        <w:rPr>
          <w:rFonts w:ascii="Palatino Linotype" w:eastAsia="MS Mincho" w:hAnsi="Palatino Linotype" w:cs="Times New Roman"/>
          <w:sz w:val="24"/>
          <w:szCs w:val="24"/>
          <w:lang w:eastAsia="es-ES"/>
        </w:rPr>
        <w:t xml:space="preserve">, el cual señala que para la aplicación de la prueba de daño, </w:t>
      </w:r>
      <w:r w:rsidR="00F44D54">
        <w:rPr>
          <w:rFonts w:ascii="Palatino Linotype" w:eastAsia="MS Mincho" w:hAnsi="Palatino Linotype" w:cs="Times New Roman"/>
          <w:sz w:val="24"/>
          <w:szCs w:val="24"/>
          <w:lang w:eastAsia="es-ES"/>
        </w:rPr>
        <w:t xml:space="preserve">se deberán configurar los siguiente supuestos: </w:t>
      </w:r>
    </w:p>
    <w:p w:rsidR="00F44D54" w:rsidRDefault="00F44D54" w:rsidP="00F44D54">
      <w:pPr>
        <w:pStyle w:val="Prrafodelista"/>
        <w:spacing w:line="360" w:lineRule="auto"/>
        <w:ind w:left="360"/>
        <w:jc w:val="both"/>
        <w:rPr>
          <w:rFonts w:ascii="Palatino Linotype" w:eastAsia="MS Mincho" w:hAnsi="Palatino Linotype" w:cs="Times New Roman"/>
          <w:sz w:val="24"/>
          <w:szCs w:val="24"/>
          <w:lang w:eastAsia="es-ES"/>
        </w:rPr>
      </w:pPr>
    </w:p>
    <w:p w:rsidR="00F44D54" w:rsidRDefault="00F44D54" w:rsidP="00F44D54">
      <w:pPr>
        <w:pStyle w:val="Prrafodelista"/>
        <w:numPr>
          <w:ilvl w:val="0"/>
          <w:numId w:val="14"/>
        </w:numPr>
        <w:spacing w:line="360" w:lineRule="auto"/>
        <w:ind w:lef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Mediante la ponderación de los intereses en conflicto, los sujetos obligados deberán demostrar que la publicidad de la información solicitada generaría un riesgo de </w:t>
      </w:r>
      <w:r w:rsidR="00A25A75">
        <w:rPr>
          <w:rFonts w:ascii="Palatino Linotype" w:eastAsia="MS Mincho" w:hAnsi="Palatino Linotype" w:cs="Times New Roman"/>
          <w:sz w:val="24"/>
          <w:szCs w:val="24"/>
          <w:lang w:eastAsia="es-ES"/>
        </w:rPr>
        <w:t>perjuici</w:t>
      </w:r>
      <w:r>
        <w:rPr>
          <w:rFonts w:ascii="Palatino Linotype" w:eastAsia="MS Mincho" w:hAnsi="Palatino Linotype" w:cs="Times New Roman"/>
          <w:sz w:val="24"/>
          <w:szCs w:val="24"/>
          <w:lang w:eastAsia="es-ES"/>
        </w:rPr>
        <w:t xml:space="preserve">o y por lo tanto, se tendrá que acreditar que este último rebasa el interés público protegido por la reserva. </w:t>
      </w:r>
    </w:p>
    <w:p w:rsidR="00F44D54" w:rsidRDefault="00F44D54" w:rsidP="00F44D54">
      <w:pPr>
        <w:pStyle w:val="Prrafodelista"/>
        <w:numPr>
          <w:ilvl w:val="0"/>
          <w:numId w:val="14"/>
        </w:numPr>
        <w:spacing w:line="360" w:lineRule="auto"/>
        <w:ind w:lef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Se debe acreditar el vínculo entre la difusión de la información y la afectación del interés jurídico tutelado de que se trate; </w:t>
      </w:r>
    </w:p>
    <w:p w:rsidR="00F44D54" w:rsidRDefault="00F44D54" w:rsidP="00F44D54">
      <w:pPr>
        <w:pStyle w:val="Prrafodelista"/>
        <w:numPr>
          <w:ilvl w:val="0"/>
          <w:numId w:val="14"/>
        </w:numPr>
        <w:spacing w:line="360" w:lineRule="auto"/>
        <w:ind w:lef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Precisar las razones objetivas por las que la apertura de la información generaría una afectación, a través de los elementos de un riesgo real, demostrable e identificable. </w:t>
      </w:r>
    </w:p>
    <w:p w:rsidR="00F44D54" w:rsidRDefault="00F44D54" w:rsidP="00A25A75">
      <w:pPr>
        <w:pStyle w:val="Prrafodelista"/>
        <w:spacing w:line="360" w:lineRule="auto"/>
        <w:ind w:left="567"/>
        <w:jc w:val="both"/>
        <w:rPr>
          <w:rFonts w:ascii="Palatino Linotype" w:eastAsia="MS Mincho" w:hAnsi="Palatino Linotype" w:cs="Times New Roman"/>
          <w:sz w:val="24"/>
          <w:szCs w:val="24"/>
          <w:lang w:eastAsia="es-ES"/>
        </w:rPr>
      </w:pPr>
    </w:p>
    <w:p w:rsidR="005974E5" w:rsidRDefault="00A25A75" w:rsidP="0099284A">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Por lo anterior, se procede a estudiar cada una de las hipótesis que prevé el artículo precedente para determinar si la difusión de la información causa un daño superior al del interés público. </w:t>
      </w:r>
    </w:p>
    <w:p w:rsidR="00A25A75" w:rsidRDefault="00A25A75" w:rsidP="00A25A75">
      <w:pPr>
        <w:pStyle w:val="Prrafodelista"/>
        <w:spacing w:line="360" w:lineRule="auto"/>
        <w:ind w:left="360"/>
        <w:jc w:val="both"/>
        <w:rPr>
          <w:rFonts w:ascii="Palatino Linotype" w:eastAsia="MS Mincho" w:hAnsi="Palatino Linotype" w:cs="Times New Roman"/>
          <w:sz w:val="24"/>
          <w:szCs w:val="24"/>
          <w:lang w:eastAsia="es-ES"/>
        </w:rPr>
      </w:pPr>
    </w:p>
    <w:p w:rsidR="00703547" w:rsidRDefault="00A25A75" w:rsidP="006603C7">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Respecto a la primera hipótesis que establece la ponderación de los intereses en conflictos al comprobar que la información solicitada genera perjuicio y si ese perjuicio rebasa el interés público, no se soslaya que las autoridades en el ámbito de sus competencias ten</w:t>
      </w:r>
      <w:r w:rsidR="00703547">
        <w:rPr>
          <w:rFonts w:ascii="Palatino Linotype" w:eastAsia="MS Mincho" w:hAnsi="Palatino Linotype" w:cs="Times New Roman"/>
          <w:sz w:val="24"/>
          <w:szCs w:val="24"/>
          <w:lang w:eastAsia="es-ES"/>
        </w:rPr>
        <w:t>ían que</w:t>
      </w:r>
      <w:r>
        <w:rPr>
          <w:rFonts w:ascii="Palatino Linotype" w:eastAsia="MS Mincho" w:hAnsi="Palatino Linotype" w:cs="Times New Roman"/>
          <w:sz w:val="24"/>
          <w:szCs w:val="24"/>
          <w:lang w:eastAsia="es-ES"/>
        </w:rPr>
        <w:t xml:space="preserve"> pagar las aportaciones</w:t>
      </w:r>
      <w:r w:rsidR="00703547">
        <w:rPr>
          <w:rFonts w:ascii="Palatino Linotype" w:eastAsia="MS Mincho" w:hAnsi="Palatino Linotype" w:cs="Times New Roman"/>
          <w:sz w:val="24"/>
          <w:szCs w:val="24"/>
          <w:lang w:eastAsia="es-ES"/>
        </w:rPr>
        <w:t xml:space="preserve"> al ISSEMYM y las cuales son de </w:t>
      </w:r>
      <w:r w:rsidR="00703547">
        <w:rPr>
          <w:rFonts w:ascii="Palatino Linotype" w:eastAsia="MS Mincho" w:hAnsi="Palatino Linotype" w:cs="Times New Roman"/>
          <w:sz w:val="24"/>
          <w:szCs w:val="24"/>
          <w:lang w:eastAsia="es-ES"/>
        </w:rPr>
        <w:lastRenderedPageBreak/>
        <w:t>carácter obligatorio, empero a ello no lo hicieron, luego entonces se firmaron convenios en los cuales se reestablecieron los procedimientos por medio de los cuales liquidarían su deuda.</w:t>
      </w:r>
    </w:p>
    <w:p w:rsidR="00703547" w:rsidRPr="00703547" w:rsidRDefault="00703547" w:rsidP="006603C7">
      <w:pPr>
        <w:pStyle w:val="Prrafodelista"/>
        <w:ind w:left="0"/>
        <w:rPr>
          <w:rFonts w:ascii="Palatino Linotype" w:eastAsia="MS Mincho" w:hAnsi="Palatino Linotype" w:cs="Times New Roman"/>
          <w:sz w:val="24"/>
          <w:szCs w:val="24"/>
          <w:lang w:eastAsia="es-ES"/>
        </w:rPr>
      </w:pPr>
    </w:p>
    <w:p w:rsidR="00A25A75" w:rsidRDefault="00703547" w:rsidP="00A25A75">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sidRPr="006603C7">
        <w:rPr>
          <w:rFonts w:ascii="Palatino Linotype" w:eastAsia="MS Mincho" w:hAnsi="Palatino Linotype" w:cs="Times New Roman"/>
          <w:sz w:val="24"/>
          <w:szCs w:val="24"/>
          <w:lang w:eastAsia="es-ES"/>
        </w:rPr>
        <w:t xml:space="preserve">Ahora bien, el </w:t>
      </w:r>
      <w:r w:rsidRPr="006603C7">
        <w:rPr>
          <w:rFonts w:ascii="Palatino Linotype" w:eastAsia="MS Mincho" w:hAnsi="Palatino Linotype" w:cs="Times New Roman"/>
          <w:b/>
          <w:sz w:val="24"/>
          <w:szCs w:val="24"/>
          <w:lang w:eastAsia="es-ES"/>
        </w:rPr>
        <w:t>SUJETO OBLIGADO</w:t>
      </w:r>
      <w:r w:rsidRPr="006603C7">
        <w:rPr>
          <w:rFonts w:ascii="Palatino Linotype" w:eastAsia="MS Mincho" w:hAnsi="Palatino Linotype" w:cs="Times New Roman"/>
          <w:sz w:val="24"/>
          <w:szCs w:val="24"/>
          <w:lang w:eastAsia="es-ES"/>
        </w:rPr>
        <w:t xml:space="preserve"> alude a que la difusión provocaría el incumplimiento de pago establecido en los mismos, por lo que su aseveración se advertirá de la siguiente manera; primeramente</w:t>
      </w:r>
      <w:r w:rsidR="006603C7" w:rsidRPr="006603C7">
        <w:rPr>
          <w:rFonts w:ascii="Palatino Linotype" w:eastAsia="MS Mincho" w:hAnsi="Palatino Linotype" w:cs="Times New Roman"/>
          <w:sz w:val="24"/>
          <w:szCs w:val="24"/>
          <w:lang w:eastAsia="es-ES"/>
        </w:rPr>
        <w:t xml:space="preserve"> atendiendo a lo establecido por la ley,</w:t>
      </w:r>
      <w:r w:rsidRPr="006603C7">
        <w:rPr>
          <w:rFonts w:ascii="Palatino Linotype" w:eastAsia="MS Mincho" w:hAnsi="Palatino Linotype" w:cs="Times New Roman"/>
          <w:sz w:val="24"/>
          <w:szCs w:val="24"/>
          <w:lang w:eastAsia="es-ES"/>
        </w:rPr>
        <w:t xml:space="preserve"> se determina que su difusión no provocar</w:t>
      </w:r>
      <w:r w:rsidR="00A9141A">
        <w:rPr>
          <w:rFonts w:ascii="Palatino Linotype" w:eastAsia="MS Mincho" w:hAnsi="Palatino Linotype" w:cs="Times New Roman"/>
          <w:sz w:val="24"/>
          <w:szCs w:val="24"/>
          <w:lang w:eastAsia="es-ES"/>
        </w:rPr>
        <w:t>ía el</w:t>
      </w:r>
      <w:r w:rsidRPr="006603C7">
        <w:rPr>
          <w:rFonts w:ascii="Palatino Linotype" w:eastAsia="MS Mincho" w:hAnsi="Palatino Linotype" w:cs="Times New Roman"/>
          <w:sz w:val="24"/>
          <w:szCs w:val="24"/>
          <w:lang w:eastAsia="es-ES"/>
        </w:rPr>
        <w:t xml:space="preserve"> incumplimiento de los pagos, ya que en el contenido del convenio no se previó alguna cláusula de secrecía </w:t>
      </w:r>
      <w:r w:rsidR="006603C7" w:rsidRPr="006603C7">
        <w:rPr>
          <w:rFonts w:ascii="Palatino Linotype" w:eastAsia="MS Mincho" w:hAnsi="Palatino Linotype" w:cs="Times New Roman"/>
          <w:sz w:val="24"/>
          <w:szCs w:val="24"/>
          <w:lang w:eastAsia="es-ES"/>
        </w:rPr>
        <w:t>que debiera cumplirse por las partes y; en segundo lugar porque en el convenio existe una cláusula de penalización, la cual será aplicable en el caso del incumplimient</w:t>
      </w:r>
      <w:r w:rsidR="006603C7">
        <w:rPr>
          <w:rFonts w:ascii="Palatino Linotype" w:eastAsia="MS Mincho" w:hAnsi="Palatino Linotype" w:cs="Times New Roman"/>
          <w:sz w:val="24"/>
          <w:szCs w:val="24"/>
          <w:lang w:eastAsia="es-ES"/>
        </w:rPr>
        <w:t xml:space="preserve">o </w:t>
      </w:r>
      <w:r w:rsidR="00A9141A">
        <w:rPr>
          <w:rFonts w:ascii="Palatino Linotype" w:eastAsia="MS Mincho" w:hAnsi="Palatino Linotype" w:cs="Times New Roman"/>
          <w:sz w:val="24"/>
          <w:szCs w:val="24"/>
          <w:lang w:eastAsia="es-ES"/>
        </w:rPr>
        <w:t xml:space="preserve">de las obligaciones contenidas. Sin embargo, es de señalar que el debido cumplimiento del convenio es en favor de las autoridades que lo firmaron, ya que a través de éste, lo que </w:t>
      </w:r>
      <w:r w:rsidR="0097282D">
        <w:rPr>
          <w:rFonts w:ascii="Palatino Linotype" w:eastAsia="MS Mincho" w:hAnsi="Palatino Linotype" w:cs="Times New Roman"/>
          <w:sz w:val="24"/>
          <w:szCs w:val="24"/>
          <w:lang w:eastAsia="es-ES"/>
        </w:rPr>
        <w:t xml:space="preserve">constituía </w:t>
      </w:r>
      <w:r w:rsidR="00A9141A">
        <w:rPr>
          <w:rFonts w:ascii="Palatino Linotype" w:eastAsia="MS Mincho" w:hAnsi="Palatino Linotype" w:cs="Times New Roman"/>
          <w:sz w:val="24"/>
          <w:szCs w:val="24"/>
          <w:lang w:eastAsia="es-ES"/>
        </w:rPr>
        <w:t xml:space="preserve">una obligación de pagar de manera inmediata y en una sola exhibición es ahora un pago en parcialidades y en el supuesto de que no lo cumplieran, deberán de liquidar la obligación de manera íntegra. </w:t>
      </w:r>
    </w:p>
    <w:p w:rsidR="00A9141A" w:rsidRPr="00A9141A" w:rsidRDefault="00A9141A" w:rsidP="00A9141A">
      <w:pPr>
        <w:pStyle w:val="Prrafodelista"/>
        <w:rPr>
          <w:rFonts w:ascii="Palatino Linotype" w:eastAsia="MS Mincho" w:hAnsi="Palatino Linotype" w:cs="Times New Roman"/>
          <w:sz w:val="24"/>
          <w:szCs w:val="24"/>
          <w:lang w:eastAsia="es-ES"/>
        </w:rPr>
      </w:pPr>
    </w:p>
    <w:p w:rsidR="00A9141A" w:rsidRDefault="00A9141A" w:rsidP="00A25A75">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Es por ello que </w:t>
      </w:r>
      <w:r w:rsidRPr="0097282D">
        <w:rPr>
          <w:rFonts w:ascii="Palatino Linotype" w:eastAsia="MS Mincho" w:hAnsi="Palatino Linotype" w:cs="Times New Roman"/>
          <w:b/>
          <w:sz w:val="24"/>
          <w:szCs w:val="24"/>
          <w:lang w:eastAsia="es-ES"/>
        </w:rPr>
        <w:t>el interés público juega a favor del Instituto de Seguridad Social del Estado de México y Municipios, ya que saber</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 xml:space="preserve"> </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quiénes deben</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 xml:space="preserve">, </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cuánto deben</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 xml:space="preserve">, </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por qué deben</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 xml:space="preserve">, </w:t>
      </w:r>
      <w:r w:rsidR="0097282D" w:rsidRPr="0097282D">
        <w:rPr>
          <w:rFonts w:ascii="Palatino Linotype" w:eastAsia="MS Mincho" w:hAnsi="Palatino Linotype" w:cs="Times New Roman"/>
          <w:b/>
          <w:sz w:val="24"/>
          <w:szCs w:val="24"/>
          <w:lang w:eastAsia="es-ES"/>
        </w:rPr>
        <w:t>¿</w:t>
      </w:r>
      <w:r w:rsidRPr="0097282D">
        <w:rPr>
          <w:rFonts w:ascii="Palatino Linotype" w:eastAsia="MS Mincho" w:hAnsi="Palatino Linotype" w:cs="Times New Roman"/>
          <w:b/>
          <w:sz w:val="24"/>
          <w:szCs w:val="24"/>
          <w:lang w:eastAsia="es-ES"/>
        </w:rPr>
        <w:t>cuándo van a pagar</w:t>
      </w:r>
      <w:r w:rsidR="0097282D" w:rsidRPr="0097282D">
        <w:rPr>
          <w:rFonts w:ascii="Palatino Linotype" w:eastAsia="MS Mincho" w:hAnsi="Palatino Linotype" w:cs="Times New Roman"/>
          <w:b/>
          <w:sz w:val="24"/>
          <w:szCs w:val="24"/>
          <w:lang w:eastAsia="es-ES"/>
        </w:rPr>
        <w:t>?</w:t>
      </w:r>
      <w:r>
        <w:rPr>
          <w:rFonts w:ascii="Palatino Linotype" w:eastAsia="MS Mincho" w:hAnsi="Palatino Linotype" w:cs="Times New Roman"/>
          <w:sz w:val="24"/>
          <w:szCs w:val="24"/>
          <w:lang w:eastAsia="es-ES"/>
        </w:rPr>
        <w:t xml:space="preserve"> generaría una presión política, pública y hasta judicial para sancionar el posible incumplimiento de las obligaciones, por lo que para realizar la ponderación de los intereses en conflicto, es </w:t>
      </w:r>
      <w:r>
        <w:rPr>
          <w:rFonts w:ascii="Palatino Linotype" w:eastAsia="MS Mincho" w:hAnsi="Palatino Linotype" w:cs="Times New Roman"/>
          <w:sz w:val="24"/>
          <w:szCs w:val="24"/>
          <w:lang w:eastAsia="es-ES"/>
        </w:rPr>
        <w:lastRenderedPageBreak/>
        <w:t>necesario que los principios choquen; el pago y la difusión, y al tenor de lo anterior, el pago puede verse fortalecido mediante la difusi</w:t>
      </w:r>
      <w:r w:rsidR="00AF3EF9">
        <w:rPr>
          <w:rFonts w:ascii="Palatino Linotype" w:eastAsia="MS Mincho" w:hAnsi="Palatino Linotype" w:cs="Times New Roman"/>
          <w:sz w:val="24"/>
          <w:szCs w:val="24"/>
          <w:lang w:eastAsia="es-ES"/>
        </w:rPr>
        <w:t xml:space="preserve">ón.  </w:t>
      </w:r>
    </w:p>
    <w:p w:rsidR="00A9141A" w:rsidRPr="00A9141A" w:rsidRDefault="00A9141A" w:rsidP="00A9141A">
      <w:pPr>
        <w:pStyle w:val="Prrafodelista"/>
        <w:rPr>
          <w:rFonts w:ascii="Palatino Linotype" w:eastAsia="MS Mincho" w:hAnsi="Palatino Linotype" w:cs="Times New Roman"/>
          <w:sz w:val="24"/>
          <w:szCs w:val="24"/>
          <w:lang w:eastAsia="es-ES"/>
        </w:rPr>
      </w:pPr>
    </w:p>
    <w:p w:rsidR="00A9141A" w:rsidRPr="008B4C47" w:rsidRDefault="00A9141A" w:rsidP="00A25A75">
      <w:pPr>
        <w:pStyle w:val="Prrafodelista"/>
        <w:numPr>
          <w:ilvl w:val="0"/>
          <w:numId w:val="2"/>
        </w:numPr>
        <w:spacing w:line="360" w:lineRule="auto"/>
        <w:ind w:left="0" w:firstLine="0"/>
        <w:jc w:val="both"/>
        <w:rPr>
          <w:rFonts w:ascii="Palatino Linotype" w:eastAsia="MS Mincho" w:hAnsi="Palatino Linotype" w:cs="Times New Roman"/>
          <w:b/>
          <w:sz w:val="24"/>
          <w:szCs w:val="24"/>
          <w:lang w:eastAsia="es-ES"/>
        </w:rPr>
      </w:pPr>
      <w:r>
        <w:rPr>
          <w:rFonts w:ascii="Palatino Linotype" w:eastAsia="MS Mincho" w:hAnsi="Palatino Linotype" w:cs="Times New Roman"/>
          <w:sz w:val="24"/>
          <w:szCs w:val="24"/>
          <w:lang w:eastAsia="es-ES"/>
        </w:rPr>
        <w:t xml:space="preserve"> </w:t>
      </w:r>
      <w:r w:rsidR="008B4C47">
        <w:rPr>
          <w:rFonts w:ascii="Palatino Linotype" w:eastAsia="MS Mincho" w:hAnsi="Palatino Linotype" w:cs="Times New Roman"/>
          <w:sz w:val="24"/>
          <w:szCs w:val="24"/>
          <w:lang w:eastAsia="es-ES"/>
        </w:rPr>
        <w:t xml:space="preserve">Con relación al elemento que refiere la acreditación del vínculo de la difusión de la información y la afectación del interés jurídico tutelado, al contrario de lo señalado por el </w:t>
      </w:r>
      <w:r w:rsidR="008B4C47">
        <w:rPr>
          <w:rFonts w:ascii="Palatino Linotype" w:eastAsia="MS Mincho" w:hAnsi="Palatino Linotype" w:cs="Times New Roman"/>
          <w:b/>
          <w:sz w:val="24"/>
          <w:szCs w:val="24"/>
          <w:lang w:eastAsia="es-ES"/>
        </w:rPr>
        <w:t xml:space="preserve">SUJETO OBLIGADO, </w:t>
      </w:r>
      <w:r w:rsidR="008B4C47">
        <w:rPr>
          <w:rFonts w:ascii="Palatino Linotype" w:eastAsia="MS Mincho" w:hAnsi="Palatino Linotype" w:cs="Times New Roman"/>
          <w:sz w:val="24"/>
          <w:szCs w:val="24"/>
          <w:lang w:eastAsia="es-ES"/>
        </w:rPr>
        <w:t xml:space="preserve">difundir la información hará visible el incumplimiento y generará presión social para que se pague o incluso se investigue y de ser su caso se sancione su incumplimiento. </w:t>
      </w:r>
    </w:p>
    <w:p w:rsidR="008B4C47" w:rsidRPr="008B4C47" w:rsidRDefault="008B4C47" w:rsidP="008B4C47">
      <w:pPr>
        <w:pStyle w:val="Prrafodelista"/>
        <w:rPr>
          <w:rFonts w:ascii="Palatino Linotype" w:eastAsia="MS Mincho" w:hAnsi="Palatino Linotype" w:cs="Times New Roman"/>
          <w:b/>
          <w:sz w:val="24"/>
          <w:szCs w:val="24"/>
          <w:lang w:eastAsia="es-ES"/>
        </w:rPr>
      </w:pPr>
    </w:p>
    <w:p w:rsidR="006603C7" w:rsidRDefault="008B4C47" w:rsidP="00E5332B">
      <w:pPr>
        <w:pStyle w:val="Prrafodelista"/>
        <w:numPr>
          <w:ilvl w:val="0"/>
          <w:numId w:val="2"/>
        </w:numPr>
        <w:spacing w:line="360" w:lineRule="auto"/>
        <w:ind w:left="0" w:firstLine="0"/>
        <w:jc w:val="both"/>
        <w:rPr>
          <w:rFonts w:ascii="Palatino Linotype" w:eastAsia="MS Mincho" w:hAnsi="Palatino Linotype" w:cs="Times New Roman"/>
          <w:sz w:val="24"/>
          <w:szCs w:val="24"/>
          <w:lang w:eastAsia="es-ES"/>
        </w:rPr>
      </w:pPr>
      <w:r w:rsidRPr="008B4C47">
        <w:rPr>
          <w:rFonts w:ascii="Palatino Linotype" w:eastAsia="MS Mincho" w:hAnsi="Palatino Linotype" w:cs="Times New Roman"/>
          <w:sz w:val="24"/>
          <w:szCs w:val="24"/>
          <w:lang w:eastAsia="es-ES"/>
        </w:rPr>
        <w:t xml:space="preserve">Por lo que hace a corroborar el riesgo real, demostrable e identificable de que la apertura de la información generaría una afectación; los servidores públicos del ISSEMYM señalaron que </w:t>
      </w:r>
      <w:r>
        <w:rPr>
          <w:rFonts w:ascii="Palatino Linotype" w:eastAsia="MS Mincho" w:hAnsi="Palatino Linotype" w:cs="Times New Roman"/>
          <w:sz w:val="24"/>
          <w:szCs w:val="24"/>
          <w:lang w:eastAsia="es-ES"/>
        </w:rPr>
        <w:t xml:space="preserve">la difusión de la información quizá podría generar que las autoridades administrativas no cumplan con sus pagos en razón a que su difusión ocasionaría protestas sociales, de lo cual este Órgano Garante advirtió que la apreciación hecha por el </w:t>
      </w:r>
      <w:r w:rsidRPr="0023760B">
        <w:rPr>
          <w:rFonts w:ascii="Palatino Linotype" w:eastAsia="MS Mincho" w:hAnsi="Palatino Linotype" w:cs="Times New Roman"/>
          <w:b/>
          <w:sz w:val="24"/>
          <w:szCs w:val="24"/>
          <w:lang w:eastAsia="es-ES"/>
        </w:rPr>
        <w:t>SUJETO OBLIGADO</w:t>
      </w:r>
      <w:r>
        <w:rPr>
          <w:rFonts w:ascii="Palatino Linotype" w:eastAsia="MS Mincho" w:hAnsi="Palatino Linotype" w:cs="Times New Roman"/>
          <w:sz w:val="24"/>
          <w:szCs w:val="24"/>
          <w:lang w:eastAsia="es-ES"/>
        </w:rPr>
        <w:t xml:space="preserve"> no se basa en hechos ni en evidencias, más que en mera suposición, por lo cual se determina que:</w:t>
      </w:r>
    </w:p>
    <w:p w:rsidR="008B4C47" w:rsidRPr="008B4C47" w:rsidRDefault="008B4C47" w:rsidP="008B4C47">
      <w:pPr>
        <w:pStyle w:val="Prrafodelista"/>
        <w:rPr>
          <w:rFonts w:ascii="Palatino Linotype" w:eastAsia="MS Mincho" w:hAnsi="Palatino Linotype" w:cs="Times New Roman"/>
          <w:sz w:val="24"/>
          <w:szCs w:val="24"/>
          <w:lang w:eastAsia="es-ES"/>
        </w:rPr>
      </w:pPr>
    </w:p>
    <w:p w:rsidR="008B4C47" w:rsidRDefault="0023760B" w:rsidP="0099284A">
      <w:pPr>
        <w:pStyle w:val="Prrafodelista"/>
        <w:numPr>
          <w:ilvl w:val="0"/>
          <w:numId w:val="10"/>
        </w:numPr>
        <w:spacing w:line="360" w:lineRule="auto"/>
        <w:ind w:left="567" w:righ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No existe un riesgo real ya que la cláusula de penalización prevé el incumplimiento de las obligaciones. </w:t>
      </w:r>
    </w:p>
    <w:p w:rsidR="0023760B" w:rsidRDefault="0023760B" w:rsidP="0099284A">
      <w:pPr>
        <w:pStyle w:val="Prrafodelista"/>
        <w:numPr>
          <w:ilvl w:val="0"/>
          <w:numId w:val="10"/>
        </w:numPr>
        <w:spacing w:line="360" w:lineRule="auto"/>
        <w:ind w:left="567" w:righ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No existe un riesgo demostrable porque las manifestaciones vertidas por el </w:t>
      </w:r>
      <w:r w:rsidRPr="0023760B">
        <w:rPr>
          <w:rFonts w:ascii="Palatino Linotype" w:eastAsia="MS Mincho" w:hAnsi="Palatino Linotype" w:cs="Times New Roman"/>
          <w:b/>
          <w:sz w:val="24"/>
          <w:szCs w:val="24"/>
          <w:lang w:eastAsia="es-ES"/>
        </w:rPr>
        <w:t>SUJETO OBLIGADO</w:t>
      </w:r>
      <w:r>
        <w:rPr>
          <w:rFonts w:ascii="Palatino Linotype" w:eastAsia="MS Mincho" w:hAnsi="Palatino Linotype" w:cs="Times New Roman"/>
          <w:sz w:val="24"/>
          <w:szCs w:val="24"/>
          <w:lang w:eastAsia="es-ES"/>
        </w:rPr>
        <w:t xml:space="preserve"> son de naturaleza subjetiva. </w:t>
      </w:r>
    </w:p>
    <w:p w:rsidR="006603C7" w:rsidRDefault="0023760B" w:rsidP="0099284A">
      <w:pPr>
        <w:pStyle w:val="Prrafodelista"/>
        <w:numPr>
          <w:ilvl w:val="0"/>
          <w:numId w:val="10"/>
        </w:numPr>
        <w:spacing w:after="0" w:line="360" w:lineRule="auto"/>
        <w:ind w:left="567" w:right="567"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No existe un riesgo identificable porque el convenio es un acuerdo de voluntades que opera a favor de los municipios, sistemas municipales </w:t>
      </w:r>
      <w:r>
        <w:rPr>
          <w:rFonts w:ascii="Palatino Linotype" w:eastAsia="MS Mincho" w:hAnsi="Palatino Linotype" w:cs="Times New Roman"/>
          <w:sz w:val="24"/>
          <w:szCs w:val="24"/>
          <w:lang w:eastAsia="es-ES"/>
        </w:rPr>
        <w:lastRenderedPageBreak/>
        <w:t xml:space="preserve">DIF y organismos auxiliares estatales, ya que el convenio está evitando ser requeridos, sancionados administrativamente y penalmente, por lo que el supuesto incumplimiento es un hecho futuro de realización incierta. </w:t>
      </w:r>
    </w:p>
    <w:p w:rsidR="0023760B" w:rsidRPr="0023760B" w:rsidRDefault="0023760B" w:rsidP="0099284A">
      <w:pPr>
        <w:pStyle w:val="Prrafodelista"/>
        <w:spacing w:after="0" w:line="360" w:lineRule="auto"/>
        <w:ind w:left="1287"/>
        <w:jc w:val="both"/>
        <w:rPr>
          <w:rFonts w:ascii="Palatino Linotype" w:eastAsia="MS Mincho" w:hAnsi="Palatino Linotype" w:cs="Times New Roman"/>
          <w:sz w:val="24"/>
          <w:szCs w:val="24"/>
          <w:lang w:eastAsia="es-ES"/>
        </w:rPr>
      </w:pPr>
    </w:p>
    <w:p w:rsidR="0023760B" w:rsidRDefault="0023760B" w:rsidP="0099284A">
      <w:pPr>
        <w:pStyle w:val="Prrafodelista"/>
        <w:numPr>
          <w:ilvl w:val="0"/>
          <w:numId w:val="2"/>
        </w:numPr>
        <w:spacing w:after="0" w:line="360" w:lineRule="auto"/>
        <w:ind w:left="0"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De todo lo anteriormente expuesto y al no actualizarse plenamente la figura de la reserva de la información, este Órgano Garante</w:t>
      </w:r>
      <w:r w:rsidRPr="0023760B">
        <w:rPr>
          <w:rFonts w:ascii="Palatino Linotype" w:eastAsia="MS Mincho" w:hAnsi="Palatino Linotype" w:cs="Times New Roman"/>
          <w:sz w:val="24"/>
          <w:szCs w:val="24"/>
          <w:lang w:eastAsia="es-ES"/>
        </w:rPr>
        <w:t xml:space="preserve"> privilegiando en todo momento el derecho de acceso a la información pública y el principio de máxima publicidad de la información, así como velando </w:t>
      </w:r>
      <w:r>
        <w:rPr>
          <w:rFonts w:ascii="Palatino Linotype" w:eastAsia="MS Mincho" w:hAnsi="Palatino Linotype" w:cs="Times New Roman"/>
          <w:sz w:val="24"/>
          <w:szCs w:val="24"/>
          <w:lang w:eastAsia="es-ES"/>
        </w:rPr>
        <w:t xml:space="preserve">por el interés público de manera permanente determina que es procedente ordenar la entrega de la información peticionada por el particular y que consta de: </w:t>
      </w:r>
    </w:p>
    <w:p w:rsidR="0099284A" w:rsidRDefault="0099284A" w:rsidP="0099284A">
      <w:pPr>
        <w:pStyle w:val="Prrafodelista"/>
        <w:spacing w:after="0" w:line="360" w:lineRule="auto"/>
        <w:ind w:left="360"/>
        <w:jc w:val="both"/>
        <w:rPr>
          <w:rFonts w:ascii="Palatino Linotype" w:eastAsia="MS Mincho" w:hAnsi="Palatino Linotype" w:cs="Times New Roman"/>
          <w:sz w:val="24"/>
          <w:szCs w:val="24"/>
          <w:lang w:eastAsia="es-ES"/>
        </w:rPr>
      </w:pPr>
    </w:p>
    <w:p w:rsidR="00693390" w:rsidRPr="0097282D" w:rsidRDefault="0023760B" w:rsidP="0097282D">
      <w:pPr>
        <w:pStyle w:val="Prrafodelista"/>
        <w:numPr>
          <w:ilvl w:val="0"/>
          <w:numId w:val="23"/>
        </w:numPr>
        <w:spacing w:after="0" w:line="360" w:lineRule="auto"/>
        <w:ind w:right="567"/>
        <w:jc w:val="both"/>
        <w:rPr>
          <w:rFonts w:ascii="Palatino Linotype" w:eastAsia="MS Mincho" w:hAnsi="Palatino Linotype" w:cs="Times New Roman"/>
          <w:b/>
          <w:sz w:val="24"/>
          <w:szCs w:val="24"/>
          <w:lang w:eastAsia="es-ES"/>
        </w:rPr>
      </w:pPr>
      <w:r w:rsidRPr="0023760B">
        <w:rPr>
          <w:rFonts w:ascii="Palatino Linotype" w:eastAsia="MS Mincho" w:hAnsi="Palatino Linotype" w:cs="Times New Roman"/>
          <w:b/>
          <w:sz w:val="24"/>
          <w:szCs w:val="24"/>
          <w:lang w:eastAsia="es-ES"/>
        </w:rPr>
        <w:t xml:space="preserve">Convenios que el </w:t>
      </w:r>
      <w:r w:rsidR="0097282D" w:rsidRPr="0097282D">
        <w:rPr>
          <w:rFonts w:ascii="Palatino Linotype" w:eastAsia="MS Mincho" w:hAnsi="Palatino Linotype" w:cs="Times New Roman"/>
          <w:b/>
          <w:sz w:val="24"/>
          <w:szCs w:val="24"/>
          <w:lang w:eastAsia="es-ES"/>
        </w:rPr>
        <w:t xml:space="preserve">Instituto de Seguridad Social del Estado de México y Municipios </w:t>
      </w:r>
      <w:r w:rsidR="0097282D">
        <w:rPr>
          <w:rFonts w:ascii="Palatino Linotype" w:eastAsia="MS Mincho" w:hAnsi="Palatino Linotype" w:cs="Times New Roman"/>
          <w:b/>
          <w:sz w:val="24"/>
          <w:szCs w:val="24"/>
          <w:lang w:eastAsia="es-ES"/>
        </w:rPr>
        <w:t>(</w:t>
      </w:r>
      <w:r w:rsidRPr="0023760B">
        <w:rPr>
          <w:rFonts w:ascii="Palatino Linotype" w:eastAsia="MS Mincho" w:hAnsi="Palatino Linotype" w:cs="Times New Roman"/>
          <w:b/>
          <w:sz w:val="24"/>
          <w:szCs w:val="24"/>
          <w:lang w:eastAsia="es-ES"/>
        </w:rPr>
        <w:t>ISSEMYM</w:t>
      </w:r>
      <w:r w:rsidR="0097282D">
        <w:rPr>
          <w:rFonts w:ascii="Palatino Linotype" w:eastAsia="MS Mincho" w:hAnsi="Palatino Linotype" w:cs="Times New Roman"/>
          <w:b/>
          <w:sz w:val="24"/>
          <w:szCs w:val="24"/>
          <w:lang w:eastAsia="es-ES"/>
        </w:rPr>
        <w:t>) firmó con los M</w:t>
      </w:r>
      <w:r w:rsidRPr="0023760B">
        <w:rPr>
          <w:rFonts w:ascii="Palatino Linotype" w:eastAsia="MS Mincho" w:hAnsi="Palatino Linotype" w:cs="Times New Roman"/>
          <w:b/>
          <w:sz w:val="24"/>
          <w:szCs w:val="24"/>
          <w:lang w:eastAsia="es-ES"/>
        </w:rPr>
        <w:t xml:space="preserve">unicipios, </w:t>
      </w:r>
      <w:r w:rsidR="0097282D" w:rsidRPr="0097282D">
        <w:rPr>
          <w:rFonts w:ascii="Palatino Linotype" w:eastAsia="MS Mincho" w:hAnsi="Palatino Linotype" w:cs="Times New Roman"/>
          <w:b/>
          <w:sz w:val="24"/>
          <w:szCs w:val="24"/>
          <w:lang w:eastAsia="es-ES"/>
        </w:rPr>
        <w:t xml:space="preserve">Organismos </w:t>
      </w:r>
      <w:r w:rsidR="0097282D">
        <w:rPr>
          <w:rFonts w:ascii="Palatino Linotype" w:eastAsia="MS Mincho" w:hAnsi="Palatino Linotype" w:cs="Times New Roman"/>
          <w:b/>
          <w:sz w:val="24"/>
          <w:szCs w:val="24"/>
          <w:lang w:eastAsia="es-ES"/>
        </w:rPr>
        <w:t xml:space="preserve">Públicos Descentralizados de Asistencia Social, de carácter Municipal, denominados </w:t>
      </w:r>
      <w:r w:rsidR="0097282D" w:rsidRPr="0097282D">
        <w:rPr>
          <w:rFonts w:ascii="Palatino Linotype" w:eastAsia="MS Mincho" w:hAnsi="Palatino Linotype" w:cs="Times New Roman"/>
          <w:b/>
          <w:sz w:val="24"/>
          <w:szCs w:val="24"/>
          <w:lang w:eastAsia="es-ES"/>
        </w:rPr>
        <w:t>Sistemas Municipales para el Desarrollo Integral de la Familia</w:t>
      </w:r>
      <w:r w:rsidR="0097282D">
        <w:rPr>
          <w:rFonts w:ascii="Palatino Linotype" w:eastAsia="MS Mincho" w:hAnsi="Palatino Linotype" w:cs="Times New Roman"/>
          <w:b/>
          <w:sz w:val="24"/>
          <w:szCs w:val="24"/>
          <w:lang w:eastAsia="es-ES"/>
        </w:rPr>
        <w:t xml:space="preserve"> (DIF) </w:t>
      </w:r>
      <w:r w:rsidRPr="0097282D">
        <w:rPr>
          <w:rFonts w:ascii="Palatino Linotype" w:eastAsia="MS Mincho" w:hAnsi="Palatino Linotype" w:cs="Times New Roman"/>
          <w:b/>
          <w:sz w:val="24"/>
          <w:szCs w:val="24"/>
          <w:lang w:eastAsia="es-ES"/>
        </w:rPr>
        <w:t xml:space="preserve">y </w:t>
      </w:r>
      <w:r w:rsidR="0097282D" w:rsidRPr="0097282D">
        <w:rPr>
          <w:rFonts w:ascii="Palatino Linotype" w:eastAsia="MS Mincho" w:hAnsi="Palatino Linotype" w:cs="Times New Roman"/>
          <w:b/>
          <w:sz w:val="24"/>
          <w:szCs w:val="24"/>
          <w:lang w:eastAsia="es-ES"/>
        </w:rPr>
        <w:t>Organismos Auxiliares Estatales</w:t>
      </w:r>
      <w:r w:rsidRPr="0097282D">
        <w:rPr>
          <w:rFonts w:ascii="Palatino Linotype" w:eastAsia="MS Mincho" w:hAnsi="Palatino Linotype" w:cs="Times New Roman"/>
          <w:b/>
          <w:sz w:val="24"/>
          <w:szCs w:val="24"/>
          <w:lang w:eastAsia="es-ES"/>
        </w:rPr>
        <w:t xml:space="preserve"> para reestructuración de deuda e importes pendientes de pago </w:t>
      </w:r>
      <w:r w:rsidR="0097282D">
        <w:rPr>
          <w:rFonts w:ascii="Palatino Linotype" w:eastAsia="MS Mincho" w:hAnsi="Palatino Linotype" w:cs="Times New Roman"/>
          <w:b/>
          <w:sz w:val="24"/>
          <w:szCs w:val="24"/>
          <w:lang w:eastAsia="es-ES"/>
        </w:rPr>
        <w:t xml:space="preserve">de los años </w:t>
      </w:r>
      <w:r w:rsidRPr="0097282D">
        <w:rPr>
          <w:rFonts w:ascii="Palatino Linotype" w:eastAsia="MS Mincho" w:hAnsi="Palatino Linotype" w:cs="Times New Roman"/>
          <w:b/>
          <w:sz w:val="24"/>
          <w:szCs w:val="24"/>
          <w:lang w:eastAsia="es-ES"/>
        </w:rPr>
        <w:t>2015, 2016, 2017 y</w:t>
      </w:r>
      <w:r w:rsidR="0097282D" w:rsidRPr="0097282D">
        <w:rPr>
          <w:rFonts w:ascii="Palatino Linotype" w:eastAsia="Times New Roman" w:hAnsi="Palatino Linotype" w:cs="Arial"/>
          <w:sz w:val="24"/>
          <w:szCs w:val="24"/>
          <w:lang w:val="es-ES" w:eastAsia="es-ES"/>
        </w:rPr>
        <w:t xml:space="preserve"> </w:t>
      </w:r>
      <w:r w:rsidR="0097282D">
        <w:rPr>
          <w:rFonts w:ascii="Palatino Linotype" w:eastAsia="Times New Roman" w:hAnsi="Palatino Linotype" w:cs="Arial"/>
          <w:sz w:val="24"/>
          <w:szCs w:val="24"/>
          <w:lang w:val="es-ES" w:eastAsia="es-ES"/>
        </w:rPr>
        <w:t xml:space="preserve">al </w:t>
      </w:r>
      <w:r w:rsidR="0097282D" w:rsidRPr="0097282D">
        <w:rPr>
          <w:rFonts w:ascii="Palatino Linotype" w:eastAsia="MS Mincho" w:hAnsi="Palatino Linotype" w:cs="Times New Roman"/>
          <w:b/>
          <w:sz w:val="24"/>
          <w:szCs w:val="24"/>
          <w:lang w:val="es-ES" w:eastAsia="es-ES"/>
        </w:rPr>
        <w:t>trece (13) de agosto de</w:t>
      </w:r>
      <w:r w:rsidR="0097282D">
        <w:rPr>
          <w:rFonts w:ascii="Palatino Linotype" w:eastAsia="MS Mincho" w:hAnsi="Palatino Linotype" w:cs="Times New Roman"/>
          <w:b/>
          <w:sz w:val="24"/>
          <w:szCs w:val="24"/>
          <w:lang w:val="es-ES" w:eastAsia="es-ES"/>
        </w:rPr>
        <w:t xml:space="preserve"> 2018, fecha en la que fueron registradas las solicitudes de información</w:t>
      </w:r>
      <w:r w:rsidRPr="0097282D">
        <w:rPr>
          <w:rFonts w:ascii="Palatino Linotype" w:eastAsia="MS Mincho" w:hAnsi="Palatino Linotype" w:cs="Times New Roman"/>
          <w:b/>
          <w:sz w:val="24"/>
          <w:szCs w:val="24"/>
          <w:lang w:eastAsia="es-ES"/>
        </w:rPr>
        <w:t xml:space="preserve">. </w:t>
      </w:r>
    </w:p>
    <w:p w:rsidR="00A93DA7" w:rsidRPr="0097282D" w:rsidRDefault="00A93DA7" w:rsidP="0097282D">
      <w:pPr>
        <w:spacing w:after="0" w:line="360" w:lineRule="auto"/>
        <w:ind w:right="567"/>
        <w:jc w:val="both"/>
        <w:rPr>
          <w:rFonts w:ascii="Palatino Linotype" w:eastAsia="MS Mincho" w:hAnsi="Palatino Linotype" w:cs="Times New Roman"/>
          <w:b/>
          <w:sz w:val="24"/>
          <w:szCs w:val="24"/>
          <w:lang w:eastAsia="es-ES"/>
        </w:rPr>
      </w:pPr>
    </w:p>
    <w:p w:rsidR="00A93DA7" w:rsidRDefault="00A93DA7" w:rsidP="00A93DA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93DA7">
        <w:rPr>
          <w:rFonts w:ascii="Palatino Linotype" w:hAnsi="Palatino Linotype" w:cs="Arial"/>
          <w:color w:val="000000" w:themeColor="text1"/>
          <w:sz w:val="24"/>
        </w:rPr>
        <w:t xml:space="preserve">Así, con fundamento en lo prescrito en los artículos 5 párrafos décimo séptimo, décimo octavo y décimo noveno de la Constitución Política del Estado </w:t>
      </w:r>
      <w:r w:rsidRPr="00A93DA7">
        <w:rPr>
          <w:rFonts w:ascii="Palatino Linotype" w:hAnsi="Palatino Linotype" w:cs="Arial"/>
          <w:color w:val="000000" w:themeColor="text1"/>
          <w:sz w:val="24"/>
        </w:rPr>
        <w:lastRenderedPageBreak/>
        <w:t>Libre y Soberano de México; 2, fracción II; 29, 36 fracciones I y II; 176, 178, 181, 185 de la Ley de Transparencia y Acceso a la Información Pública del Estado de México y Municipios, este Pleno emite los siguientes:</w:t>
      </w:r>
    </w:p>
    <w:p w:rsidR="006869D2" w:rsidRDefault="006869D2" w:rsidP="006869D2">
      <w:pPr>
        <w:spacing w:after="0" w:line="360" w:lineRule="auto"/>
        <w:jc w:val="both"/>
        <w:rPr>
          <w:rFonts w:ascii="Palatino Linotype" w:hAnsi="Palatino Linotype" w:cs="Arial"/>
          <w:color w:val="000000" w:themeColor="text1"/>
          <w:sz w:val="24"/>
        </w:rPr>
      </w:pPr>
    </w:p>
    <w:p w:rsidR="006869D2" w:rsidRDefault="006869D2" w:rsidP="006869D2">
      <w:pPr>
        <w:spacing w:after="0" w:line="360" w:lineRule="auto"/>
        <w:jc w:val="both"/>
        <w:rPr>
          <w:rFonts w:ascii="Palatino Linotype" w:hAnsi="Palatino Linotype" w:cs="Arial"/>
          <w:color w:val="000000" w:themeColor="text1"/>
          <w:sz w:val="24"/>
        </w:rPr>
      </w:pPr>
    </w:p>
    <w:p w:rsidR="006869D2" w:rsidRDefault="006869D2" w:rsidP="006869D2">
      <w:pPr>
        <w:spacing w:after="0" w:line="360" w:lineRule="auto"/>
        <w:jc w:val="both"/>
        <w:rPr>
          <w:rFonts w:ascii="Palatino Linotype" w:hAnsi="Palatino Linotype" w:cs="Arial"/>
          <w:color w:val="000000" w:themeColor="text1"/>
          <w:sz w:val="24"/>
        </w:rPr>
      </w:pPr>
    </w:p>
    <w:p w:rsidR="006869D2" w:rsidRDefault="006869D2" w:rsidP="006869D2">
      <w:pPr>
        <w:spacing w:after="0" w:line="360" w:lineRule="auto"/>
        <w:jc w:val="both"/>
        <w:rPr>
          <w:rFonts w:ascii="Palatino Linotype" w:hAnsi="Palatino Linotype" w:cs="Arial"/>
          <w:color w:val="000000" w:themeColor="text1"/>
          <w:sz w:val="24"/>
        </w:rPr>
      </w:pPr>
    </w:p>
    <w:p w:rsidR="006869D2" w:rsidRDefault="006869D2"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560EB0" w:rsidRDefault="00560EB0" w:rsidP="006869D2">
      <w:pPr>
        <w:spacing w:after="0" w:line="360" w:lineRule="auto"/>
        <w:jc w:val="both"/>
        <w:rPr>
          <w:rFonts w:ascii="Palatino Linotype" w:hAnsi="Palatino Linotype" w:cs="Arial"/>
          <w:color w:val="000000" w:themeColor="text1"/>
          <w:sz w:val="24"/>
        </w:rPr>
      </w:pPr>
    </w:p>
    <w:p w:rsidR="00693390" w:rsidRPr="007B5031" w:rsidRDefault="00693390" w:rsidP="00D95A22">
      <w:pPr>
        <w:spacing w:after="0" w:line="360" w:lineRule="auto"/>
        <w:jc w:val="both"/>
        <w:rPr>
          <w:rFonts w:ascii="Palatino Linotype" w:hAnsi="Palatino Linotype" w:cs="Arial"/>
          <w:color w:val="000000" w:themeColor="text1"/>
          <w:sz w:val="24"/>
        </w:rPr>
      </w:pPr>
    </w:p>
    <w:p w:rsidR="006F025F" w:rsidRPr="0017140F" w:rsidRDefault="006F025F" w:rsidP="00D95A2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27" w:name="_Toc494366431"/>
      <w:bookmarkStart w:id="28" w:name="_Toc525814126"/>
      <w:r w:rsidRPr="0017140F">
        <w:rPr>
          <w:rFonts w:ascii="Palatino Linotype" w:eastAsia="Times New Roman" w:hAnsi="Palatino Linotype" w:cstheme="majorBidi"/>
          <w:b/>
          <w:sz w:val="24"/>
          <w:szCs w:val="24"/>
          <w:lang w:val="es-ES_tradnl" w:eastAsia="es-ES"/>
        </w:rPr>
        <w:lastRenderedPageBreak/>
        <w:t>R E S O L U T I V O S</w:t>
      </w:r>
      <w:bookmarkEnd w:id="27"/>
      <w:bookmarkEnd w:id="28"/>
    </w:p>
    <w:p w:rsidR="006F025F" w:rsidRPr="0017140F" w:rsidRDefault="006F025F" w:rsidP="00D95A22">
      <w:pPr>
        <w:spacing w:after="0" w:line="360" w:lineRule="auto"/>
        <w:rPr>
          <w:lang w:val="es-ES_tradnl" w:eastAsia="es-ES"/>
        </w:rPr>
      </w:pPr>
    </w:p>
    <w:p w:rsidR="00845705" w:rsidRPr="00D020D3" w:rsidRDefault="006F025F" w:rsidP="00D95A22">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sidRPr="007B222D">
        <w:rPr>
          <w:rFonts w:ascii="Palatino Linotype" w:eastAsia="Times New Roman" w:hAnsi="Palatino Linotype" w:cs="Arial"/>
          <w:sz w:val="24"/>
          <w:szCs w:val="24"/>
          <w:lang w:val="es-ES_tradnl" w:eastAsia="es-ES"/>
        </w:rPr>
        <w:t>Son fundadas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valer </w:t>
      </w:r>
      <w:r w:rsidR="0087682B">
        <w:rPr>
          <w:rFonts w:ascii="Palatino Linotype" w:eastAsia="Calibri" w:hAnsi="Palatino Linotype" w:cs="Arial"/>
          <w:sz w:val="24"/>
          <w:szCs w:val="24"/>
          <w:lang w:val="es-ES" w:eastAsia="es-ES"/>
        </w:rPr>
        <w:t xml:space="preserve">en </w:t>
      </w:r>
      <w:r w:rsidR="00B7488E">
        <w:rPr>
          <w:rFonts w:ascii="Palatino Linotype" w:eastAsia="Calibri" w:hAnsi="Palatino Linotype" w:cs="Arial"/>
          <w:sz w:val="24"/>
          <w:szCs w:val="24"/>
          <w:lang w:val="es-ES" w:eastAsia="es-ES"/>
        </w:rPr>
        <w:t xml:space="preserve">los </w:t>
      </w:r>
      <w:r w:rsidRPr="007B222D">
        <w:rPr>
          <w:rFonts w:ascii="Palatino Linotype" w:eastAsia="Calibri" w:hAnsi="Palatino Linotype" w:cs="Arial"/>
          <w:sz w:val="24"/>
          <w:szCs w:val="24"/>
          <w:lang w:val="es-ES" w:eastAsia="es-ES"/>
        </w:rPr>
        <w:t>recurso</w:t>
      </w:r>
      <w:r w:rsidR="00B7488E">
        <w:rPr>
          <w:rFonts w:ascii="Palatino Linotype" w:eastAsia="Calibri" w:hAnsi="Palatino Linotype" w:cs="Arial"/>
          <w:sz w:val="24"/>
          <w:szCs w:val="24"/>
          <w:lang w:val="es-ES" w:eastAsia="es-ES"/>
        </w:rPr>
        <w:t>s</w:t>
      </w:r>
      <w:r w:rsidRPr="007B222D">
        <w:rPr>
          <w:rFonts w:ascii="Palatino Linotype" w:eastAsia="Calibri" w:hAnsi="Palatino Linotype" w:cs="Arial"/>
          <w:sz w:val="24"/>
          <w:szCs w:val="24"/>
          <w:lang w:val="es-ES" w:eastAsia="es-ES"/>
        </w:rPr>
        <w:t xml:space="preserve"> de revisión </w:t>
      </w:r>
      <w:r w:rsidR="005E38DE" w:rsidRPr="005E38DE">
        <w:rPr>
          <w:rFonts w:ascii="Palatino Linotype" w:eastAsia="Times New Roman" w:hAnsi="Palatino Linotype" w:cs="Times New Roman"/>
          <w:b/>
          <w:bCs/>
          <w:sz w:val="24"/>
          <w:szCs w:val="24"/>
          <w:lang w:eastAsia="es-ES"/>
        </w:rPr>
        <w:t xml:space="preserve">03423/INFOEM/IP/RR/2018, 03424/INFOEM/IP/RR/2018 y 3425/INFOEM/IP/RR/2018 </w:t>
      </w:r>
      <w:r w:rsidR="00871F55">
        <w:rPr>
          <w:rFonts w:ascii="Palatino Linotype" w:eastAsia="Times New Roman" w:hAnsi="Palatino Linotype" w:cs="Times New Roman"/>
          <w:b/>
          <w:sz w:val="24"/>
          <w:szCs w:val="24"/>
          <w:lang w:val="es-ES_tradnl" w:eastAsia="es-ES"/>
        </w:rPr>
        <w:t>acumulados</w:t>
      </w:r>
      <w:r w:rsidR="00D020D3">
        <w:rPr>
          <w:rFonts w:ascii="Palatino Linotype" w:eastAsia="Times New Roman" w:hAnsi="Palatino Linotype" w:cs="Times New Roman"/>
          <w:b/>
          <w:sz w:val="24"/>
          <w:szCs w:val="24"/>
          <w:lang w:val="es-ES_tradnl" w:eastAsia="es-ES"/>
        </w:rPr>
        <w:t xml:space="preserve"> </w:t>
      </w:r>
      <w:r w:rsidR="00871F55">
        <w:rPr>
          <w:rFonts w:ascii="Palatino Linotype" w:eastAsia="Times New Roman" w:hAnsi="Palatino Linotype" w:cs="Times New Roman"/>
          <w:sz w:val="24"/>
          <w:szCs w:val="24"/>
          <w:lang w:val="es-ES_tradnl" w:eastAsia="es-ES"/>
        </w:rPr>
        <w:t xml:space="preserve">en términos del considerando </w:t>
      </w:r>
      <w:r w:rsidR="00871F55" w:rsidRPr="00871F55">
        <w:rPr>
          <w:rFonts w:ascii="Palatino Linotype" w:eastAsia="Times New Roman" w:hAnsi="Palatino Linotype" w:cs="Times New Roman"/>
          <w:b/>
          <w:sz w:val="24"/>
          <w:szCs w:val="24"/>
          <w:lang w:val="es-ES_tradnl" w:eastAsia="es-ES"/>
        </w:rPr>
        <w:t xml:space="preserve">CUARTO </w:t>
      </w:r>
      <w:r w:rsidR="00D020D3">
        <w:rPr>
          <w:rFonts w:ascii="Palatino Linotype" w:eastAsia="Times New Roman" w:hAnsi="Palatino Linotype" w:cs="Times New Roman"/>
          <w:sz w:val="24"/>
          <w:szCs w:val="24"/>
          <w:lang w:val="es-ES_tradnl" w:eastAsia="es-ES"/>
        </w:rPr>
        <w:t xml:space="preserve">de la presente resolución. </w:t>
      </w:r>
    </w:p>
    <w:p w:rsidR="0087682B" w:rsidRPr="007B222D" w:rsidRDefault="0087682B" w:rsidP="00D95A22">
      <w:pPr>
        <w:spacing w:after="0" w:line="360" w:lineRule="auto"/>
        <w:jc w:val="both"/>
        <w:rPr>
          <w:rFonts w:ascii="Palatino Linotype" w:eastAsia="Times New Roman" w:hAnsi="Palatino Linotype" w:cs="Times New Roman"/>
          <w:sz w:val="24"/>
          <w:szCs w:val="24"/>
          <w:lang w:val="es-ES_tradnl" w:eastAsia="es-ES"/>
        </w:rPr>
      </w:pPr>
    </w:p>
    <w:p w:rsidR="0019761F" w:rsidRDefault="006F025F" w:rsidP="00D95A22">
      <w:pPr>
        <w:spacing w:after="0" w:line="360" w:lineRule="auto"/>
        <w:contextualSpacing/>
        <w:jc w:val="both"/>
        <w:rPr>
          <w:rFonts w:ascii="Palatino Linotype" w:eastAsia="Times New Roman" w:hAnsi="Palatino Linotype" w:cs="Arial"/>
          <w:sz w:val="24"/>
          <w:szCs w:val="24"/>
          <w:lang w:val="es-ES_tradnl" w:eastAsia="es-ES"/>
        </w:rPr>
      </w:pPr>
      <w:r w:rsidRPr="007B222D">
        <w:rPr>
          <w:rFonts w:ascii="Palatino Linotype" w:eastAsia="Calibri" w:hAnsi="Palatino Linotype" w:cs="Arial"/>
          <w:b/>
          <w:bCs/>
          <w:sz w:val="24"/>
          <w:szCs w:val="24"/>
          <w:lang w:val="es-ES" w:eastAsia="es-ES"/>
        </w:rPr>
        <w:t xml:space="preserve">SEGUNDO. </w:t>
      </w:r>
      <w:r w:rsidRPr="007B222D">
        <w:rPr>
          <w:rFonts w:ascii="Palatino Linotype" w:eastAsia="Calibri" w:hAnsi="Palatino Linotype" w:cs="Arial"/>
          <w:sz w:val="24"/>
          <w:szCs w:val="24"/>
          <w:lang w:val="es-ES" w:eastAsia="es-ES"/>
        </w:rPr>
        <w:t xml:space="preserve">Se </w:t>
      </w:r>
      <w:r w:rsidR="00871F55">
        <w:rPr>
          <w:rFonts w:ascii="Palatino Linotype" w:eastAsia="Calibri" w:hAnsi="Palatino Linotype" w:cs="Arial"/>
          <w:b/>
          <w:sz w:val="24"/>
          <w:szCs w:val="24"/>
          <w:lang w:val="es-ES" w:eastAsia="es-ES"/>
        </w:rPr>
        <w:t>REVOCA</w:t>
      </w:r>
      <w:r w:rsidR="00B7488E">
        <w:rPr>
          <w:rFonts w:ascii="Palatino Linotype" w:eastAsia="Calibri" w:hAnsi="Palatino Linotype" w:cs="Arial"/>
          <w:b/>
          <w:sz w:val="24"/>
          <w:szCs w:val="24"/>
          <w:lang w:val="es-ES" w:eastAsia="es-ES"/>
        </w:rPr>
        <w:t>N</w:t>
      </w:r>
      <w:r w:rsidR="00871F55">
        <w:rPr>
          <w:rFonts w:ascii="Palatino Linotype" w:eastAsia="Calibri" w:hAnsi="Palatino Linotype" w:cs="Arial"/>
          <w:sz w:val="24"/>
          <w:szCs w:val="24"/>
          <w:lang w:val="es-ES" w:eastAsia="es-ES"/>
        </w:rPr>
        <w:t xml:space="preserve"> la</w:t>
      </w:r>
      <w:r w:rsidR="00B7488E">
        <w:rPr>
          <w:rFonts w:ascii="Palatino Linotype" w:eastAsia="Calibri" w:hAnsi="Palatino Linotype" w:cs="Arial"/>
          <w:sz w:val="24"/>
          <w:szCs w:val="24"/>
          <w:lang w:val="es-ES" w:eastAsia="es-ES"/>
        </w:rPr>
        <w:t>s</w:t>
      </w:r>
      <w:r w:rsidR="00871F55">
        <w:rPr>
          <w:rFonts w:ascii="Palatino Linotype" w:eastAsia="Calibri" w:hAnsi="Palatino Linotype" w:cs="Arial"/>
          <w:sz w:val="24"/>
          <w:szCs w:val="24"/>
          <w:lang w:val="es-ES" w:eastAsia="es-ES"/>
        </w:rPr>
        <w:t xml:space="preserve"> respuesta</w:t>
      </w:r>
      <w:r w:rsidR="00B7488E">
        <w:rPr>
          <w:rFonts w:ascii="Palatino Linotype" w:eastAsia="Calibri" w:hAnsi="Palatino Linotype" w:cs="Arial"/>
          <w:sz w:val="24"/>
          <w:szCs w:val="24"/>
          <w:lang w:val="es-ES" w:eastAsia="es-ES"/>
        </w:rPr>
        <w:t>s</w:t>
      </w:r>
      <w:r w:rsidR="00871F55">
        <w:rPr>
          <w:rFonts w:ascii="Palatino Linotype" w:eastAsia="Calibri" w:hAnsi="Palatino Linotype" w:cs="Arial"/>
          <w:sz w:val="24"/>
          <w:szCs w:val="24"/>
          <w:lang w:val="es-ES" w:eastAsia="es-ES"/>
        </w:rPr>
        <w:t xml:space="preserve"> de</w:t>
      </w:r>
      <w:r w:rsidRPr="007B222D">
        <w:rPr>
          <w:rFonts w:ascii="Palatino Linotype" w:eastAsia="Calibri" w:hAnsi="Palatino Linotype" w:cs="Arial"/>
          <w:sz w:val="24"/>
          <w:szCs w:val="24"/>
          <w:lang w:val="es-ES" w:eastAsia="es-ES"/>
        </w:rPr>
        <w:t xml:space="preserve">l </w:t>
      </w:r>
      <w:r w:rsidR="00871F55">
        <w:rPr>
          <w:rFonts w:ascii="Palatino Linotype" w:eastAsia="Calibri" w:hAnsi="Palatino Linotype" w:cs="Arial"/>
          <w:b/>
          <w:sz w:val="24"/>
          <w:szCs w:val="24"/>
          <w:lang w:eastAsia="es-ES"/>
        </w:rPr>
        <w:t xml:space="preserve">Instituto de Seguridad Social del Estado de México y Municipios </w:t>
      </w:r>
      <w:r w:rsidR="00871F55">
        <w:rPr>
          <w:rFonts w:ascii="Palatino Linotype" w:eastAsia="Calibri" w:hAnsi="Palatino Linotype" w:cs="Arial"/>
          <w:sz w:val="24"/>
          <w:szCs w:val="24"/>
          <w:lang w:eastAsia="es-ES"/>
        </w:rPr>
        <w:t xml:space="preserve">y se </w:t>
      </w:r>
      <w:r w:rsidR="00871F55" w:rsidRPr="00871F55">
        <w:rPr>
          <w:rFonts w:ascii="Palatino Linotype" w:eastAsia="Calibri" w:hAnsi="Palatino Linotype" w:cs="Arial"/>
          <w:b/>
          <w:sz w:val="24"/>
          <w:szCs w:val="24"/>
          <w:lang w:eastAsia="es-ES"/>
        </w:rPr>
        <w:t>ORDENA</w:t>
      </w:r>
      <w:r w:rsidRPr="007B222D">
        <w:rPr>
          <w:rFonts w:ascii="Palatino Linotype" w:eastAsia="Calibri" w:hAnsi="Palatino Linotype" w:cs="Arial"/>
          <w:b/>
          <w:sz w:val="24"/>
          <w:szCs w:val="24"/>
          <w:lang w:val="es-ES" w:eastAsia="es-ES"/>
        </w:rPr>
        <w:t xml:space="preserve"> </w:t>
      </w:r>
      <w:r w:rsidR="00D020D3">
        <w:rPr>
          <w:rFonts w:ascii="Palatino Linotype" w:eastAsia="Calibri" w:hAnsi="Palatino Linotype" w:cs="Arial"/>
          <w:sz w:val="24"/>
          <w:szCs w:val="24"/>
          <w:lang w:val="es-ES" w:eastAsia="es-ES"/>
        </w:rPr>
        <w:t>entregar</w:t>
      </w:r>
      <w:r w:rsidR="00C71D8F" w:rsidRPr="007B222D">
        <w:rPr>
          <w:rFonts w:ascii="Palatino Linotype" w:eastAsia="Calibri" w:hAnsi="Palatino Linotype" w:cs="Arial"/>
          <w:sz w:val="24"/>
          <w:szCs w:val="24"/>
          <w:lang w:val="es-ES" w:eastAsia="es-ES"/>
        </w:rPr>
        <w:t xml:space="preserve"> </w:t>
      </w:r>
      <w:r w:rsidRPr="007B222D">
        <w:rPr>
          <w:rFonts w:ascii="Palatino Linotype" w:eastAsia="Calibri" w:hAnsi="Palatino Linotype" w:cs="Arial"/>
          <w:sz w:val="24"/>
          <w:szCs w:val="24"/>
          <w:lang w:val="es-ES" w:eastAsia="es-ES"/>
        </w:rPr>
        <w:t>vía</w:t>
      </w:r>
      <w:r w:rsidRPr="007B222D">
        <w:rPr>
          <w:rFonts w:ascii="Palatino Linotype" w:eastAsia="Times New Roman" w:hAnsi="Palatino Linotype" w:cs="Arial"/>
          <w:color w:val="000000"/>
          <w:sz w:val="24"/>
          <w:szCs w:val="24"/>
          <w:lang w:val="es-ES" w:eastAsia="es-ES"/>
        </w:rPr>
        <w:t xml:space="preserve"> </w:t>
      </w:r>
      <w:r w:rsidRPr="007B222D">
        <w:rPr>
          <w:rFonts w:ascii="Palatino Linotype" w:eastAsia="Times New Roman" w:hAnsi="Palatino Linotype" w:cs="Arial"/>
          <w:color w:val="000000"/>
          <w:sz w:val="24"/>
          <w:szCs w:val="24"/>
          <w:lang w:val="es-ES_tradnl" w:eastAsia="es-ES"/>
        </w:rPr>
        <w:t>Sistema de Acceso a Información Mexiquense (</w:t>
      </w:r>
      <w:bookmarkStart w:id="29" w:name="_Toc460947013"/>
      <w:r w:rsidR="00871F55">
        <w:rPr>
          <w:rFonts w:ascii="Palatino Linotype" w:eastAsia="Times New Roman" w:hAnsi="Palatino Linotype" w:cs="Arial"/>
          <w:color w:val="000000"/>
          <w:sz w:val="24"/>
          <w:szCs w:val="24"/>
          <w:lang w:val="es-ES_tradnl" w:eastAsia="es-ES"/>
        </w:rPr>
        <w:t>SAIMEX) lo siguiente:</w:t>
      </w:r>
    </w:p>
    <w:p w:rsidR="0019761F" w:rsidRDefault="0019761F" w:rsidP="00D95A22">
      <w:pPr>
        <w:spacing w:after="0" w:line="360" w:lineRule="auto"/>
        <w:contextualSpacing/>
        <w:jc w:val="both"/>
        <w:rPr>
          <w:rFonts w:ascii="Palatino Linotype" w:eastAsia="Times New Roman" w:hAnsi="Palatino Linotype" w:cs="Arial"/>
          <w:sz w:val="24"/>
          <w:szCs w:val="24"/>
          <w:lang w:val="es-ES_tradnl" w:eastAsia="es-ES"/>
        </w:rPr>
      </w:pPr>
    </w:p>
    <w:p w:rsidR="00871F55" w:rsidRPr="0097282D" w:rsidRDefault="0097282D" w:rsidP="0097282D">
      <w:pPr>
        <w:pStyle w:val="Prrafodelista"/>
        <w:numPr>
          <w:ilvl w:val="0"/>
          <w:numId w:val="25"/>
        </w:numPr>
        <w:spacing w:after="0" w:line="360" w:lineRule="auto"/>
        <w:ind w:right="567"/>
        <w:jc w:val="both"/>
        <w:rPr>
          <w:rFonts w:ascii="Palatino Linotype" w:eastAsia="MS Mincho" w:hAnsi="Palatino Linotype" w:cs="Times New Roman"/>
          <w:b/>
          <w:sz w:val="24"/>
          <w:szCs w:val="24"/>
          <w:lang w:eastAsia="es-ES"/>
        </w:rPr>
      </w:pPr>
      <w:r w:rsidRPr="0097282D">
        <w:rPr>
          <w:rFonts w:ascii="Palatino Linotype" w:eastAsia="MS Mincho" w:hAnsi="Palatino Linotype" w:cs="Times New Roman"/>
          <w:b/>
          <w:sz w:val="24"/>
          <w:szCs w:val="24"/>
          <w:lang w:eastAsia="es-ES"/>
        </w:rPr>
        <w:t xml:space="preserve">Convenios que el Instituto de Seguridad Social del Estado de México y Municipios (ISSEMYM) firmó con los Municipios, Organismos Públicos Descentralizados de Asistencia Social, de carácter Municipal, denominados Sistemas Municipales para el Desarrollo Integral de la Familia (DIF) y Organismos Auxiliares Estatales para reestructuración de deuda e importes pendientes de pago de los años 2015, 2016, 2017 </w:t>
      </w:r>
      <w:r w:rsidRPr="001339D7">
        <w:rPr>
          <w:rFonts w:ascii="Palatino Linotype" w:eastAsia="MS Mincho" w:hAnsi="Palatino Linotype" w:cs="Times New Roman"/>
          <w:b/>
          <w:sz w:val="24"/>
          <w:szCs w:val="24"/>
          <w:lang w:eastAsia="es-ES"/>
        </w:rPr>
        <w:t>y</w:t>
      </w:r>
      <w:r w:rsidRPr="001339D7">
        <w:rPr>
          <w:rFonts w:ascii="Palatino Linotype" w:eastAsia="Times New Roman" w:hAnsi="Palatino Linotype" w:cs="Arial"/>
          <w:b/>
          <w:sz w:val="24"/>
          <w:szCs w:val="24"/>
          <w:lang w:val="es-ES" w:eastAsia="es-ES"/>
        </w:rPr>
        <w:t xml:space="preserve"> </w:t>
      </w:r>
      <w:r w:rsidR="001339D7" w:rsidRPr="001339D7">
        <w:rPr>
          <w:rFonts w:ascii="Palatino Linotype" w:eastAsia="Times New Roman" w:hAnsi="Palatino Linotype" w:cs="Arial"/>
          <w:b/>
          <w:sz w:val="24"/>
          <w:szCs w:val="24"/>
          <w:lang w:val="es-ES" w:eastAsia="es-ES"/>
        </w:rPr>
        <w:t xml:space="preserve">del uno (1) de enero </w:t>
      </w:r>
      <w:r w:rsidRPr="001339D7">
        <w:rPr>
          <w:rFonts w:ascii="Palatino Linotype" w:eastAsia="Times New Roman" w:hAnsi="Palatino Linotype" w:cs="Arial"/>
          <w:b/>
          <w:sz w:val="24"/>
          <w:szCs w:val="24"/>
          <w:lang w:val="es-ES" w:eastAsia="es-ES"/>
        </w:rPr>
        <w:t xml:space="preserve">al </w:t>
      </w:r>
      <w:r w:rsidRPr="001339D7">
        <w:rPr>
          <w:rFonts w:ascii="Palatino Linotype" w:eastAsia="MS Mincho" w:hAnsi="Palatino Linotype" w:cs="Times New Roman"/>
          <w:b/>
          <w:sz w:val="24"/>
          <w:szCs w:val="24"/>
          <w:lang w:val="es-ES" w:eastAsia="es-ES"/>
        </w:rPr>
        <w:t>trece (13) de agosto de 2018.</w:t>
      </w:r>
    </w:p>
    <w:p w:rsidR="0087682B" w:rsidRPr="007B222D" w:rsidRDefault="0087682B" w:rsidP="00D95A22">
      <w:pPr>
        <w:spacing w:after="0" w:line="360" w:lineRule="auto"/>
        <w:contextualSpacing/>
        <w:jc w:val="both"/>
        <w:rPr>
          <w:rFonts w:ascii="Palatino Linotype" w:eastAsia="Calibri" w:hAnsi="Palatino Linotype" w:cs="Arial"/>
          <w:sz w:val="24"/>
          <w:szCs w:val="24"/>
          <w:lang w:eastAsia="es-ES"/>
        </w:rPr>
      </w:pPr>
    </w:p>
    <w:p w:rsidR="000201D1" w:rsidRDefault="00C07697" w:rsidP="00D95A22">
      <w:pPr>
        <w:spacing w:after="0" w:line="360" w:lineRule="auto"/>
        <w:jc w:val="both"/>
        <w:rPr>
          <w:rFonts w:ascii="Palatino Linotype" w:eastAsia="MS Mincho" w:hAnsi="Palatino Linotype" w:cs="Times New Roman"/>
          <w:color w:val="000000"/>
          <w:sz w:val="24"/>
          <w:szCs w:val="24"/>
          <w:lang w:val="es-ES_tradnl" w:eastAsia="es-ES"/>
        </w:rPr>
      </w:pPr>
      <w:r w:rsidRPr="00C07697">
        <w:rPr>
          <w:rFonts w:ascii="Palatino Linotype" w:eastAsia="MS Mincho" w:hAnsi="Palatino Linotype" w:cs="Times New Roman"/>
          <w:b/>
          <w:color w:val="000000"/>
          <w:sz w:val="24"/>
          <w:szCs w:val="24"/>
          <w:lang w:val="es-ES_tradnl" w:eastAsia="es-ES"/>
        </w:rPr>
        <w:t>TERCERO</w:t>
      </w:r>
      <w:r w:rsidR="000201D1" w:rsidRPr="00C07697">
        <w:rPr>
          <w:rFonts w:ascii="Palatino Linotype" w:eastAsia="MS Mincho" w:hAnsi="Palatino Linotype" w:cs="Times New Roman"/>
          <w:b/>
          <w:color w:val="000000"/>
          <w:sz w:val="24"/>
          <w:szCs w:val="24"/>
          <w:lang w:val="es-ES_tradnl" w:eastAsia="es-ES"/>
        </w:rPr>
        <w:t>.</w:t>
      </w:r>
      <w:r w:rsidR="000201D1" w:rsidRPr="007B222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B222D">
        <w:rPr>
          <w:rFonts w:ascii="Palatino Linotype" w:eastAsia="MS Mincho" w:hAnsi="Palatino Linotype" w:cs="Times New Roman"/>
          <w:b/>
          <w:color w:val="000000"/>
          <w:sz w:val="24"/>
          <w:szCs w:val="24"/>
          <w:lang w:val="es-ES_tradnl" w:eastAsia="es-ES"/>
        </w:rPr>
        <w:t xml:space="preserve"> </w:t>
      </w:r>
      <w:r w:rsidR="0087682B" w:rsidRPr="0087682B">
        <w:rPr>
          <w:rFonts w:ascii="Palatino Linotype" w:eastAsia="MS Mincho" w:hAnsi="Palatino Linotype" w:cs="Times New Roman"/>
          <w:color w:val="000000"/>
          <w:sz w:val="24"/>
          <w:szCs w:val="24"/>
          <w:lang w:val="es-ES_tradnl" w:eastAsia="es-ES"/>
        </w:rPr>
        <w:t>Sujeto Obligado</w:t>
      </w:r>
      <w:r w:rsidR="000201D1" w:rsidRPr="007B222D">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0201D1" w:rsidRPr="007B222D">
        <w:rPr>
          <w:rFonts w:ascii="Palatino Linotype" w:eastAsia="MS Mincho" w:hAnsi="Palatino Linotype" w:cs="Times New Roman"/>
          <w:color w:val="000000"/>
          <w:sz w:val="24"/>
          <w:szCs w:val="24"/>
          <w:lang w:val="es-ES_tradnl" w:eastAsia="es-ES"/>
        </w:rPr>
        <w:lastRenderedPageBreak/>
        <w:t>diez días hábiles, debiendo rendir a este Instituto el informe de cumplimiento de la resolución en un plazo de tres días hábiles posteriores.</w:t>
      </w:r>
    </w:p>
    <w:p w:rsidR="00C07697" w:rsidRPr="007B222D" w:rsidRDefault="00C07697" w:rsidP="00D95A22">
      <w:pPr>
        <w:spacing w:after="0" w:line="360" w:lineRule="auto"/>
        <w:jc w:val="both"/>
        <w:rPr>
          <w:rFonts w:ascii="Palatino Linotype" w:eastAsia="MS Mincho" w:hAnsi="Palatino Linotype" w:cs="Times New Roman"/>
          <w:color w:val="000000"/>
          <w:sz w:val="24"/>
          <w:szCs w:val="24"/>
          <w:lang w:val="es-ES_tradnl" w:eastAsia="es-ES"/>
        </w:rPr>
      </w:pPr>
    </w:p>
    <w:p w:rsidR="000201D1" w:rsidRPr="006869D2" w:rsidRDefault="00C07697" w:rsidP="006869D2">
      <w:pPr>
        <w:jc w:val="both"/>
        <w:rPr>
          <w:rFonts w:ascii="Palatino Linotype" w:hAnsi="Palatino Linotype"/>
          <w:b/>
        </w:rPr>
      </w:pPr>
      <w:r>
        <w:rPr>
          <w:rFonts w:ascii="Palatino Linotype" w:eastAsia="MS Mincho" w:hAnsi="Palatino Linotype" w:cs="Times New Roman"/>
          <w:b/>
          <w:color w:val="000000"/>
          <w:sz w:val="24"/>
          <w:szCs w:val="24"/>
          <w:lang w:val="es-ES_tradnl" w:eastAsia="es-ES"/>
        </w:rPr>
        <w:t>CUARTO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Notifíquese a</w:t>
      </w:r>
      <w:r w:rsidR="000201D1" w:rsidRPr="007B222D">
        <w:rPr>
          <w:rFonts w:ascii="Palatino Linotype" w:eastAsia="MS Mincho" w:hAnsi="Palatino Linotype" w:cs="Times New Roman"/>
          <w:b/>
          <w:color w:val="000000"/>
          <w:sz w:val="24"/>
          <w:szCs w:val="24"/>
          <w:lang w:val="es-ES_tradnl" w:eastAsia="es-ES"/>
        </w:rPr>
        <w:t xml:space="preserve"> </w:t>
      </w:r>
      <w:r w:rsidR="00892355" w:rsidRPr="00892355">
        <w:rPr>
          <w:rFonts w:ascii="Palatino Linotype" w:hAnsi="Palatino Linotype"/>
          <w:b/>
          <w:sz w:val="24"/>
          <w:highlight w:val="black"/>
        </w:rPr>
        <w:t>--------------------------------------</w:t>
      </w:r>
      <w:r w:rsidR="006869D2" w:rsidRPr="006869D2">
        <w:rPr>
          <w:rFonts w:ascii="Palatino Linotype" w:hAnsi="Palatino Linotype"/>
          <w:b/>
          <w:sz w:val="24"/>
        </w:rPr>
        <w:t xml:space="preserve"> </w:t>
      </w:r>
      <w:r w:rsidR="000201D1" w:rsidRPr="007B222D">
        <w:rPr>
          <w:rFonts w:ascii="Palatino Linotype" w:eastAsia="MS Mincho" w:hAnsi="Palatino Linotype" w:cs="Times New Roman"/>
          <w:color w:val="000000"/>
          <w:sz w:val="24"/>
          <w:szCs w:val="24"/>
          <w:lang w:val="es-ES_tradnl" w:eastAsia="es-ES"/>
        </w:rPr>
        <w:t>la presente resolución.</w:t>
      </w:r>
    </w:p>
    <w:p w:rsidR="00C07697" w:rsidRPr="007B222D" w:rsidRDefault="00C07697" w:rsidP="00D95A22">
      <w:pPr>
        <w:spacing w:after="0" w:line="360" w:lineRule="auto"/>
        <w:jc w:val="both"/>
        <w:rPr>
          <w:rFonts w:ascii="Palatino Linotype" w:eastAsia="MS Mincho" w:hAnsi="Palatino Linotype" w:cs="Times New Roman"/>
          <w:color w:val="000000"/>
          <w:sz w:val="24"/>
          <w:szCs w:val="24"/>
          <w:lang w:val="es-ES_tradnl" w:eastAsia="es-ES"/>
        </w:rPr>
      </w:pPr>
    </w:p>
    <w:p w:rsidR="00C07697" w:rsidRDefault="00C07697" w:rsidP="00D95A22">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sz w:val="24"/>
          <w:szCs w:val="24"/>
          <w:lang w:val="es-ES_tradnl" w:eastAsia="es-ES"/>
        </w:rPr>
        <w:t>QUINTO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 xml:space="preserve">Se hace del conocimiento de </w:t>
      </w:r>
      <w:r w:rsidR="00892355" w:rsidRPr="00892355">
        <w:rPr>
          <w:rFonts w:ascii="Palatino Linotype" w:hAnsi="Palatino Linotype"/>
          <w:b/>
          <w:sz w:val="24"/>
          <w:highlight w:val="black"/>
        </w:rPr>
        <w:t>--------------------------------------</w:t>
      </w:r>
      <w:r w:rsidR="006869D2" w:rsidRPr="006869D2">
        <w:rPr>
          <w:rFonts w:ascii="Palatino Linotype" w:hAnsi="Palatino Linotype"/>
          <w:b/>
          <w:sz w:val="24"/>
        </w:rPr>
        <w:t xml:space="preserve"> </w:t>
      </w:r>
      <w:r w:rsidR="000201D1" w:rsidRPr="007B222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29"/>
    </w:p>
    <w:p w:rsidR="00240779" w:rsidRPr="00240779" w:rsidRDefault="00240779" w:rsidP="00D95A22">
      <w:pPr>
        <w:spacing w:after="0" w:line="360" w:lineRule="auto"/>
        <w:jc w:val="both"/>
        <w:rPr>
          <w:rFonts w:ascii="Palatino Linotype" w:eastAsia="MS Mincho" w:hAnsi="Palatino Linotype" w:cs="Times New Roman"/>
          <w:color w:val="000000"/>
          <w:sz w:val="24"/>
          <w:szCs w:val="24"/>
          <w:lang w:val="es-ES_tradnl" w:eastAsia="es-ES"/>
        </w:rPr>
      </w:pPr>
    </w:p>
    <w:p w:rsidR="00E93981" w:rsidRPr="003E585E" w:rsidRDefault="00E93981" w:rsidP="00D95A22">
      <w:pPr>
        <w:spacing w:after="0" w:line="360" w:lineRule="auto"/>
        <w:ind w:firstLine="1"/>
        <w:jc w:val="both"/>
        <w:rPr>
          <w:rFonts w:ascii="Palatino Linotype" w:hAnsi="Palatino Linotype"/>
        </w:rPr>
      </w:pPr>
      <w:r w:rsidRPr="0017140F">
        <w:rPr>
          <w:rFonts w:ascii="Palatino Linotype" w:hAnsi="Palatino Linotype"/>
        </w:rPr>
        <w:t xml:space="preserve">ASÍ LO RESUELVE, </w:t>
      </w:r>
      <w:r w:rsidRPr="000F3365">
        <w:rPr>
          <w:rFonts w:ascii="Palatino Linotype" w:hAnsi="Palatino Linotype"/>
          <w:highlight w:val="yellow"/>
        </w:rPr>
        <w:t>POR UNANIMIDAD DE VOTOS</w:t>
      </w:r>
      <w:r w:rsidRPr="0017140F">
        <w:rPr>
          <w:rFonts w:ascii="Palatino Linotype" w:hAnsi="Palatino Linotype"/>
        </w:rPr>
        <w:t xml:space="preserve">, EL PLENO DEL INSTITUTO DE TRANSPARENCIA, ACCESO A LA INFORMACIÓN PÚBLICA Y PROTECCIÓN DE DATOS PERSONALES DEL ESTADO DE MÉXICO Y MUNICIPIOS, CONFORMADO POR LOS COMISIONADOS ZULEMA MARTÍNEZ SÁNCHEZ, EVA ABAID YAPUR, JOSÉ GUADALUPE LUNA HERNÁNDEZ Y JAVIER MARTÍNEZ CRUZ, </w:t>
      </w:r>
      <w:r w:rsidRPr="000F3365">
        <w:rPr>
          <w:rFonts w:ascii="Palatino Linotype" w:hAnsi="Palatino Linotype"/>
          <w:highlight w:val="yellow"/>
        </w:rPr>
        <w:t xml:space="preserve">EN LA DÉCIMA </w:t>
      </w:r>
      <w:r w:rsidR="000F3365" w:rsidRPr="000F3365">
        <w:rPr>
          <w:rFonts w:ascii="Palatino Linotype" w:hAnsi="Palatino Linotype"/>
          <w:highlight w:val="yellow"/>
        </w:rPr>
        <w:t xml:space="preserve">SÉPTIMA </w:t>
      </w:r>
      <w:r w:rsidRPr="000F3365">
        <w:rPr>
          <w:rFonts w:ascii="Palatino Linotype" w:hAnsi="Palatino Linotype"/>
          <w:highlight w:val="yellow"/>
        </w:rPr>
        <w:t>SESIÓN ORDINARIA CELEBRADA EL DÍA ONCE DE MARZO DE DOS MIL DIECIOCHO,</w:t>
      </w:r>
      <w:r w:rsidRPr="0017140F">
        <w:rPr>
          <w:rFonts w:ascii="Palatino Linotype" w:hAnsi="Palatino Linotype"/>
        </w:rPr>
        <w:t xml:space="preserve"> ANTE EL SECRETARIO TÉCNICO DEL PLENO, ALEXIS TAPIA RAMÍREZ.</w:t>
      </w:r>
      <w:r w:rsidRPr="003E585E">
        <w:rPr>
          <w:rFonts w:ascii="Palatino Linotype" w:hAnsi="Palatino Linotype"/>
        </w:rPr>
        <w:t xml:space="preserve"> </w:t>
      </w:r>
    </w:p>
    <w:tbl>
      <w:tblPr>
        <w:tblW w:w="5000" w:type="pct"/>
        <w:jc w:val="center"/>
        <w:tblLook w:val="04A0" w:firstRow="1" w:lastRow="0" w:firstColumn="1" w:lastColumn="0" w:noHBand="0" w:noVBand="1"/>
      </w:tblPr>
      <w:tblGrid>
        <w:gridCol w:w="4192"/>
        <w:gridCol w:w="4597"/>
      </w:tblGrid>
      <w:tr w:rsidR="00E93981" w:rsidRPr="003E585E" w:rsidTr="00141BDA">
        <w:trPr>
          <w:trHeight w:val="924"/>
          <w:jc w:val="center"/>
        </w:trPr>
        <w:tc>
          <w:tcPr>
            <w:tcW w:w="5000" w:type="pct"/>
            <w:gridSpan w:val="2"/>
            <w:shd w:val="clear" w:color="auto" w:fill="auto"/>
          </w:tcPr>
          <w:p w:rsidR="00E93981" w:rsidRDefault="00E93981"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Default="00240779" w:rsidP="00D95A22">
            <w:pPr>
              <w:spacing w:after="0" w:line="360" w:lineRule="auto"/>
              <w:jc w:val="center"/>
              <w:rPr>
                <w:rFonts w:ascii="Palatino Linotype" w:hAnsi="Palatino Linotype"/>
                <w:b/>
              </w:rPr>
            </w:pPr>
          </w:p>
          <w:p w:rsidR="00240779" w:rsidRPr="003E585E" w:rsidRDefault="00240779" w:rsidP="00D95A22">
            <w:pPr>
              <w:spacing w:after="0" w:line="360" w:lineRule="auto"/>
              <w:jc w:val="center"/>
              <w:rPr>
                <w:rFonts w:ascii="Palatino Linotype" w:hAnsi="Palatino Linotype"/>
                <w:b/>
              </w:rPr>
            </w:pPr>
          </w:p>
          <w:p w:rsidR="00E93981" w:rsidRPr="003E585E" w:rsidRDefault="00E93981" w:rsidP="00D95A22">
            <w:pPr>
              <w:spacing w:after="0" w:line="360" w:lineRule="auto"/>
              <w:jc w:val="center"/>
              <w:rPr>
                <w:rFonts w:ascii="Palatino Linotype" w:hAnsi="Palatino Linotype"/>
                <w:b/>
              </w:rPr>
            </w:pPr>
            <w:r w:rsidRPr="003E585E">
              <w:rPr>
                <w:rFonts w:ascii="Palatino Linotype" w:hAnsi="Palatino Linotype"/>
                <w:b/>
              </w:rPr>
              <w:t xml:space="preserve">Zulema Martínez Sánchez </w:t>
            </w:r>
          </w:p>
          <w:p w:rsidR="00E93981" w:rsidRPr="003E585E" w:rsidRDefault="00E93981" w:rsidP="00D95A22">
            <w:pPr>
              <w:spacing w:after="0" w:line="360" w:lineRule="auto"/>
              <w:jc w:val="center"/>
              <w:rPr>
                <w:rFonts w:ascii="Palatino Linotype" w:hAnsi="Palatino Linotype"/>
              </w:rPr>
            </w:pPr>
            <w:r w:rsidRPr="003E585E">
              <w:rPr>
                <w:rFonts w:ascii="Palatino Linotype" w:hAnsi="Palatino Linotype"/>
              </w:rPr>
              <w:t>Comisionada Presidenta</w:t>
            </w:r>
          </w:p>
          <w:p w:rsidR="00E93981" w:rsidRPr="003E585E" w:rsidRDefault="00E93981" w:rsidP="00D95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D95A22">
            <w:pPr>
              <w:spacing w:after="0" w:line="360" w:lineRule="auto"/>
              <w:jc w:val="center"/>
              <w:rPr>
                <w:rFonts w:ascii="Palatino Linotype" w:hAnsi="Palatino Linotype"/>
              </w:rPr>
            </w:pPr>
          </w:p>
          <w:p w:rsidR="00E93981" w:rsidRPr="003E585E" w:rsidRDefault="00E93981" w:rsidP="00D95A22">
            <w:pPr>
              <w:spacing w:after="0" w:line="360" w:lineRule="auto"/>
              <w:rPr>
                <w:rFonts w:ascii="Palatino Linotype" w:hAnsi="Palatino Linotype"/>
              </w:rPr>
            </w:pPr>
          </w:p>
        </w:tc>
      </w:tr>
      <w:tr w:rsidR="00E93981" w:rsidRPr="003E585E" w:rsidTr="00141BDA">
        <w:trPr>
          <w:trHeight w:val="902"/>
          <w:jc w:val="center"/>
        </w:trPr>
        <w:tc>
          <w:tcPr>
            <w:tcW w:w="2385" w:type="pct"/>
            <w:shd w:val="clear" w:color="auto" w:fill="auto"/>
          </w:tcPr>
          <w:p w:rsidR="00E93981" w:rsidRPr="003E585E" w:rsidRDefault="00E93981" w:rsidP="00D95A22">
            <w:pPr>
              <w:spacing w:after="0" w:line="360" w:lineRule="auto"/>
              <w:jc w:val="center"/>
              <w:rPr>
                <w:rFonts w:ascii="Palatino Linotype" w:hAnsi="Palatino Linotype"/>
                <w:b/>
              </w:rPr>
            </w:pPr>
            <w:r w:rsidRPr="003E585E">
              <w:rPr>
                <w:rFonts w:ascii="Palatino Linotype" w:hAnsi="Palatino Linotype"/>
                <w:b/>
              </w:rPr>
              <w:lastRenderedPageBreak/>
              <w:t>Eva Abaid Yapur</w:t>
            </w:r>
          </w:p>
          <w:p w:rsidR="00E93981" w:rsidRPr="003E585E" w:rsidRDefault="00E93981" w:rsidP="00D95A22">
            <w:pPr>
              <w:spacing w:after="0" w:line="360" w:lineRule="auto"/>
              <w:jc w:val="center"/>
              <w:rPr>
                <w:rFonts w:ascii="Palatino Linotype" w:hAnsi="Palatino Linotype"/>
              </w:rPr>
            </w:pPr>
            <w:r w:rsidRPr="003E585E">
              <w:rPr>
                <w:rFonts w:ascii="Palatino Linotype" w:hAnsi="Palatino Linotype"/>
              </w:rPr>
              <w:t>Comisionada</w:t>
            </w:r>
          </w:p>
          <w:p w:rsidR="00E93981" w:rsidRPr="003E585E" w:rsidRDefault="00E93981" w:rsidP="00D95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D95A22">
            <w:pPr>
              <w:spacing w:after="0" w:line="360" w:lineRule="auto"/>
              <w:jc w:val="center"/>
              <w:rPr>
                <w:rFonts w:ascii="Palatino Linotype" w:hAnsi="Palatino Linotype"/>
              </w:rPr>
            </w:pPr>
          </w:p>
          <w:p w:rsidR="00E93981" w:rsidRPr="003E585E" w:rsidRDefault="00E93981" w:rsidP="00D95A22">
            <w:pPr>
              <w:spacing w:after="0" w:line="360" w:lineRule="auto"/>
              <w:jc w:val="center"/>
              <w:rPr>
                <w:rFonts w:ascii="Palatino Linotype" w:hAnsi="Palatino Linotype"/>
              </w:rPr>
            </w:pPr>
          </w:p>
        </w:tc>
        <w:tc>
          <w:tcPr>
            <w:tcW w:w="2615" w:type="pct"/>
            <w:shd w:val="clear" w:color="auto" w:fill="auto"/>
          </w:tcPr>
          <w:p w:rsidR="00E93981" w:rsidRPr="003E585E" w:rsidRDefault="00E93981" w:rsidP="00D95A22">
            <w:pPr>
              <w:spacing w:after="0" w:line="360" w:lineRule="auto"/>
              <w:jc w:val="center"/>
              <w:rPr>
                <w:rFonts w:ascii="Palatino Linotype" w:hAnsi="Palatino Linotype"/>
                <w:b/>
              </w:rPr>
            </w:pPr>
            <w:r w:rsidRPr="003E585E">
              <w:rPr>
                <w:rFonts w:ascii="Palatino Linotype" w:hAnsi="Palatino Linotype"/>
                <w:b/>
              </w:rPr>
              <w:t>José Guadalupe Luna Hernández</w:t>
            </w:r>
          </w:p>
          <w:p w:rsidR="00E93981" w:rsidRPr="003E585E" w:rsidRDefault="00E93981" w:rsidP="00D95A22">
            <w:pPr>
              <w:spacing w:after="0" w:line="360" w:lineRule="auto"/>
              <w:jc w:val="center"/>
              <w:rPr>
                <w:rFonts w:ascii="Palatino Linotype" w:hAnsi="Palatino Linotype"/>
              </w:rPr>
            </w:pPr>
            <w:r w:rsidRPr="003E585E">
              <w:rPr>
                <w:rFonts w:ascii="Palatino Linotype" w:hAnsi="Palatino Linotype"/>
              </w:rPr>
              <w:t>Comisionado</w:t>
            </w:r>
          </w:p>
          <w:p w:rsidR="00E93981" w:rsidRPr="003E585E" w:rsidRDefault="00F013D8" w:rsidP="00D95A22">
            <w:pPr>
              <w:tabs>
                <w:tab w:val="left" w:pos="780"/>
                <w:tab w:val="center" w:pos="4499"/>
              </w:tabs>
              <w:spacing w:after="0" w:line="360" w:lineRule="auto"/>
              <w:jc w:val="center"/>
              <w:rPr>
                <w:rFonts w:ascii="Palatino Linotype" w:hAnsi="Palatino Linotype"/>
              </w:rPr>
            </w:pPr>
            <w:r>
              <w:rPr>
                <w:rFonts w:ascii="Palatino Linotype" w:hAnsi="Palatino Linotype"/>
              </w:rPr>
              <w:t>(Rúbrica)</w:t>
            </w:r>
          </w:p>
        </w:tc>
      </w:tr>
      <w:tr w:rsidR="00E93981" w:rsidRPr="003E585E" w:rsidTr="00141BDA">
        <w:trPr>
          <w:jc w:val="center"/>
        </w:trPr>
        <w:tc>
          <w:tcPr>
            <w:tcW w:w="5000" w:type="pct"/>
            <w:gridSpan w:val="2"/>
            <w:shd w:val="clear" w:color="auto" w:fill="auto"/>
            <w:hideMark/>
          </w:tcPr>
          <w:p w:rsidR="00E93981" w:rsidRPr="003E585E" w:rsidRDefault="00E93981" w:rsidP="00D95A22">
            <w:pPr>
              <w:spacing w:after="0" w:line="360" w:lineRule="auto"/>
              <w:jc w:val="center"/>
              <w:rPr>
                <w:rFonts w:ascii="Palatino Linotype" w:hAnsi="Palatino Linotype"/>
                <w:b/>
              </w:rPr>
            </w:pPr>
            <w:r w:rsidRPr="003E585E">
              <w:rPr>
                <w:rFonts w:ascii="Palatino Linotype" w:hAnsi="Palatino Linotype"/>
                <w:b/>
              </w:rPr>
              <w:t xml:space="preserve">Javier Martínez Cruz </w:t>
            </w:r>
          </w:p>
          <w:p w:rsidR="00E93981" w:rsidRPr="003E585E" w:rsidRDefault="00E93981" w:rsidP="00D95A22">
            <w:pPr>
              <w:spacing w:after="0" w:line="360" w:lineRule="auto"/>
              <w:jc w:val="center"/>
              <w:rPr>
                <w:rFonts w:ascii="Palatino Linotype" w:hAnsi="Palatino Linotype"/>
              </w:rPr>
            </w:pPr>
            <w:r w:rsidRPr="003E585E">
              <w:rPr>
                <w:rFonts w:ascii="Palatino Linotype" w:hAnsi="Palatino Linotype"/>
              </w:rPr>
              <w:t>Comisionado</w:t>
            </w:r>
          </w:p>
          <w:p w:rsidR="00E93981" w:rsidRPr="003E585E" w:rsidRDefault="00E93981" w:rsidP="00D95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D95A22">
            <w:pPr>
              <w:spacing w:after="0" w:line="360" w:lineRule="auto"/>
              <w:jc w:val="center"/>
              <w:rPr>
                <w:rFonts w:ascii="Palatino Linotype" w:hAnsi="Palatino Linotype"/>
              </w:rPr>
            </w:pPr>
          </w:p>
        </w:tc>
      </w:tr>
      <w:tr w:rsidR="00E93981" w:rsidRPr="003E585E" w:rsidTr="00141BDA">
        <w:trPr>
          <w:jc w:val="center"/>
        </w:trPr>
        <w:tc>
          <w:tcPr>
            <w:tcW w:w="5000" w:type="pct"/>
            <w:gridSpan w:val="2"/>
            <w:shd w:val="clear" w:color="auto" w:fill="auto"/>
          </w:tcPr>
          <w:p w:rsidR="00E93981" w:rsidRPr="003E585E" w:rsidRDefault="00E93981" w:rsidP="00D95A22">
            <w:pPr>
              <w:spacing w:after="0" w:line="360" w:lineRule="auto"/>
              <w:jc w:val="center"/>
              <w:rPr>
                <w:rFonts w:ascii="Palatino Linotype" w:hAnsi="Palatino Linotype"/>
                <w:b/>
              </w:rPr>
            </w:pPr>
            <w:r w:rsidRPr="003E585E">
              <w:rPr>
                <w:rFonts w:ascii="Palatino Linotype" w:hAnsi="Palatino Linotype"/>
                <w:b/>
              </w:rPr>
              <w:t xml:space="preserve">       Alexis Tapia Ramírez</w:t>
            </w:r>
          </w:p>
          <w:p w:rsidR="00E93981" w:rsidRPr="003E585E" w:rsidRDefault="00E93981" w:rsidP="00D95A22">
            <w:pPr>
              <w:tabs>
                <w:tab w:val="left" w:pos="780"/>
                <w:tab w:val="center" w:pos="4499"/>
              </w:tabs>
              <w:spacing w:after="0" w:line="360" w:lineRule="auto"/>
              <w:rPr>
                <w:rFonts w:ascii="Palatino Linotype" w:hAnsi="Palatino Linotype"/>
              </w:rPr>
            </w:pPr>
            <w:r w:rsidRPr="003E585E">
              <w:rPr>
                <w:rFonts w:ascii="Palatino Linotype" w:hAnsi="Palatino Linotype"/>
              </w:rPr>
              <w:tab/>
            </w:r>
            <w:r w:rsidRPr="003E585E">
              <w:rPr>
                <w:rFonts w:ascii="Palatino Linotype" w:hAnsi="Palatino Linotype"/>
              </w:rPr>
              <w:tab/>
              <w:t>Secretario Técnica del Pleno</w:t>
            </w:r>
          </w:p>
          <w:p w:rsidR="00E93981" w:rsidRPr="003E585E" w:rsidRDefault="00E93981" w:rsidP="00D95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D95A22">
            <w:pPr>
              <w:tabs>
                <w:tab w:val="left" w:pos="780"/>
                <w:tab w:val="center" w:pos="4499"/>
              </w:tabs>
              <w:spacing w:after="0" w:line="360" w:lineRule="auto"/>
              <w:rPr>
                <w:rFonts w:ascii="Palatino Linotype" w:hAnsi="Palatino Linotype" w:cs="Arial"/>
              </w:rPr>
            </w:pPr>
          </w:p>
        </w:tc>
      </w:tr>
    </w:tbl>
    <w:p w:rsidR="00DE6AF4" w:rsidRDefault="00E93981" w:rsidP="00D95A22">
      <w:pPr>
        <w:spacing w:after="0" w:line="360" w:lineRule="auto"/>
        <w:jc w:val="both"/>
      </w:pPr>
      <w:r w:rsidRPr="0032356A">
        <w:rPr>
          <w:rFonts w:ascii="Palatino Linotype" w:hAnsi="Palatino Linotype" w:cs="Arial"/>
          <w:sz w:val="18"/>
          <w:szCs w:val="18"/>
          <w:highlight w:val="yellow"/>
        </w:rPr>
        <w:t xml:space="preserve">Esta hoja corresponde a la resolución de fecha </w:t>
      </w:r>
      <w:r w:rsidR="004A04FC" w:rsidRPr="0032356A">
        <w:rPr>
          <w:rFonts w:ascii="Palatino Linotype" w:hAnsi="Palatino Linotype" w:cs="Arial"/>
          <w:sz w:val="18"/>
          <w:szCs w:val="18"/>
          <w:highlight w:val="yellow"/>
        </w:rPr>
        <w:t>dieciséis (16) de mayo</w:t>
      </w:r>
      <w:r w:rsidRPr="0032356A">
        <w:rPr>
          <w:rFonts w:ascii="Palatino Linotype" w:hAnsi="Palatino Linotype" w:cs="Arial"/>
          <w:sz w:val="18"/>
          <w:szCs w:val="18"/>
          <w:highlight w:val="yellow"/>
        </w:rPr>
        <w:t xml:space="preserve"> de dos mil dieciocho, emitida en el recurso de revisión </w:t>
      </w:r>
      <w:r w:rsidRPr="0032356A">
        <w:rPr>
          <w:rFonts w:ascii="Palatino Linotype" w:hAnsi="Palatino Linotype" w:cs="Arial"/>
          <w:bCs/>
          <w:sz w:val="18"/>
          <w:szCs w:val="18"/>
          <w:highlight w:val="yellow"/>
        </w:rPr>
        <w:t>00</w:t>
      </w:r>
      <w:r w:rsidR="004A04FC" w:rsidRPr="0032356A">
        <w:rPr>
          <w:rFonts w:ascii="Palatino Linotype" w:hAnsi="Palatino Linotype" w:cs="Arial"/>
          <w:bCs/>
          <w:sz w:val="18"/>
          <w:szCs w:val="18"/>
          <w:highlight w:val="yellow"/>
        </w:rPr>
        <w:t>991</w:t>
      </w:r>
      <w:r w:rsidRPr="0032356A">
        <w:rPr>
          <w:rFonts w:ascii="Palatino Linotype" w:hAnsi="Palatino Linotype" w:cs="Arial"/>
          <w:bCs/>
          <w:sz w:val="18"/>
          <w:szCs w:val="18"/>
          <w:highlight w:val="yellow"/>
        </w:rPr>
        <w:t>/INFOEM/IP/RR/2018.</w:t>
      </w:r>
      <w:r w:rsidRPr="006F6271">
        <w:rPr>
          <w:rFonts w:ascii="Palatino Linotype" w:hAnsi="Palatino Linotype" w:cs="Arial"/>
          <w:bCs/>
          <w:sz w:val="18"/>
          <w:szCs w:val="18"/>
        </w:rPr>
        <w:t xml:space="preserve"> </w:t>
      </w:r>
    </w:p>
    <w:sectPr w:rsidR="00DE6AF4" w:rsidSect="009A458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B43" w:rsidRDefault="00042B43" w:rsidP="00792776">
      <w:pPr>
        <w:spacing w:after="0" w:line="240" w:lineRule="auto"/>
      </w:pPr>
      <w:r>
        <w:separator/>
      </w:r>
    </w:p>
  </w:endnote>
  <w:endnote w:type="continuationSeparator" w:id="0">
    <w:p w:rsidR="00042B43" w:rsidRDefault="00042B4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5332B" w:rsidRPr="00883450" w:rsidRDefault="00E5332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338C5">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338C5">
              <w:rPr>
                <w:rFonts w:ascii="Palatino Linotype" w:hAnsi="Palatino Linotype"/>
                <w:b/>
                <w:bCs/>
                <w:noProof/>
                <w:szCs w:val="20"/>
              </w:rPr>
              <w:t>62</w:t>
            </w:r>
            <w:r w:rsidRPr="00883450">
              <w:rPr>
                <w:rFonts w:ascii="Palatino Linotype" w:hAnsi="Palatino Linotype"/>
                <w:b/>
                <w:bCs/>
                <w:szCs w:val="20"/>
              </w:rPr>
              <w:fldChar w:fldCharType="end"/>
            </w:r>
          </w:p>
        </w:sdtContent>
      </w:sdt>
    </w:sdtContent>
  </w:sdt>
  <w:p w:rsidR="00E5332B" w:rsidRDefault="00E533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32B" w:rsidRPr="00883450" w:rsidRDefault="00E5332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338C5" w:rsidRPr="009338C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338C5" w:rsidRPr="009338C5">
      <w:rPr>
        <w:rFonts w:ascii="Palatino Linotype" w:hAnsi="Palatino Linotype"/>
        <w:noProof/>
        <w:lang w:val="es-ES"/>
      </w:rPr>
      <w:t>62</w:t>
    </w:r>
    <w:r w:rsidRPr="00883450">
      <w:rPr>
        <w:rFonts w:ascii="Palatino Linotype" w:hAnsi="Palatino Linotype"/>
      </w:rPr>
      <w:fldChar w:fldCharType="end"/>
    </w:r>
  </w:p>
  <w:p w:rsidR="00E5332B" w:rsidRPr="00883450" w:rsidRDefault="00E5332B">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B43" w:rsidRDefault="00042B43" w:rsidP="00792776">
      <w:pPr>
        <w:spacing w:after="0" w:line="240" w:lineRule="auto"/>
      </w:pPr>
      <w:r>
        <w:separator/>
      </w:r>
    </w:p>
  </w:footnote>
  <w:footnote w:type="continuationSeparator" w:id="0">
    <w:p w:rsidR="00042B43" w:rsidRDefault="00042B43" w:rsidP="00792776">
      <w:pPr>
        <w:spacing w:after="0" w:line="240" w:lineRule="auto"/>
      </w:pPr>
      <w:r>
        <w:continuationSeparator/>
      </w:r>
    </w:p>
  </w:footnote>
  <w:footnote w:id="1">
    <w:p w:rsidR="00E5332B" w:rsidRPr="00F75272" w:rsidRDefault="00E5332B" w:rsidP="00C541A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32B" w:rsidRDefault="00E5332B">
    <w:pPr>
      <w:pStyle w:val="Encabezado"/>
    </w:pPr>
  </w:p>
  <w:p w:rsidR="00E5332B" w:rsidRDefault="00E5332B" w:rsidP="009A4582">
    <w:pPr>
      <w:pStyle w:val="Encabezado"/>
      <w:tabs>
        <w:tab w:val="clear" w:pos="4419"/>
        <w:tab w:val="clear" w:pos="8838"/>
        <w:tab w:val="left" w:pos="7283"/>
      </w:tabs>
    </w:pPr>
    <w:r>
      <w:tab/>
    </w:r>
  </w:p>
  <w:tbl>
    <w:tblPr>
      <w:tblStyle w:val="Tablaconcuadrcula"/>
      <w:tblW w:w="6378" w:type="dxa"/>
      <w:tblInd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5332B" w:rsidRPr="00EF13C1" w:rsidTr="001C6D03">
      <w:trPr>
        <w:trHeight w:val="138"/>
      </w:trPr>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5332B" w:rsidRPr="00EF13C1" w:rsidRDefault="00E5332B"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5332B" w:rsidRDefault="00E5332B" w:rsidP="005176BA">
          <w:pPr>
            <w:pStyle w:val="Encabezado"/>
            <w:jc w:val="right"/>
            <w:rPr>
              <w:rFonts w:ascii="Palatino Linotype" w:hAnsi="Palatino Linotype" w:cs="Arial"/>
              <w:b/>
              <w:bCs/>
              <w:sz w:val="22"/>
              <w:szCs w:val="22"/>
              <w:lang w:eastAsia="es-MX"/>
            </w:rPr>
          </w:pPr>
        </w:p>
        <w:p w:rsidR="00E5332B" w:rsidRPr="005176BA" w:rsidRDefault="00E5332B" w:rsidP="001C6D03">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03423/INFOEM/IP/RR/2018 y acumulados  </w:t>
          </w:r>
        </w:p>
      </w:tc>
    </w:tr>
    <w:tr w:rsidR="00E5332B" w:rsidRPr="00EF13C1" w:rsidTr="001C6D03">
      <w:trPr>
        <w:trHeight w:val="321"/>
      </w:trPr>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5332B" w:rsidRPr="00EF13C1" w:rsidRDefault="00E5332B"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5332B" w:rsidRPr="00EF13C1" w:rsidRDefault="00E5332B" w:rsidP="00244765">
          <w:pPr>
            <w:pStyle w:val="Encabezado"/>
            <w:jc w:val="right"/>
            <w:rPr>
              <w:rFonts w:ascii="Palatino Linotype" w:hAnsi="Palatino Linotype"/>
              <w:b/>
              <w:sz w:val="22"/>
              <w:szCs w:val="22"/>
            </w:rPr>
          </w:pPr>
          <w:r>
            <w:rPr>
              <w:rFonts w:ascii="Palatino Linotype" w:hAnsi="Palatino Linotype"/>
              <w:b/>
              <w:sz w:val="22"/>
              <w:szCs w:val="22"/>
            </w:rPr>
            <w:t>Instituto de Seguridad Social del Estado de México y Municipios.</w:t>
          </w:r>
        </w:p>
      </w:tc>
    </w:tr>
    <w:tr w:rsidR="00E5332B" w:rsidRPr="00EF13C1" w:rsidTr="001C6D03">
      <w:trPr>
        <w:trHeight w:val="321"/>
      </w:trPr>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5332B" w:rsidRPr="00EF13C1" w:rsidRDefault="00E5332B"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tcBorders>
            <w:top w:val="single" w:sz="4" w:space="0" w:color="FFFFFF" w:themeColor="background1"/>
            <w:left w:val="single" w:sz="4" w:space="0" w:color="FFFFFF" w:themeColor="background1"/>
            <w:bottom w:val="single" w:sz="4" w:space="0" w:color="FFFFFF" w:themeColor="background1"/>
          </w:tcBorders>
          <w:vAlign w:val="center"/>
        </w:tcPr>
        <w:p w:rsidR="00E5332B" w:rsidRPr="00EF13C1" w:rsidRDefault="00E5332B"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5332B" w:rsidRDefault="00E5332B"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32B" w:rsidRDefault="00E5332B" w:rsidP="009A4582">
    <w:pPr>
      <w:pStyle w:val="Encabezado"/>
      <w:tabs>
        <w:tab w:val="left" w:pos="3103"/>
      </w:tabs>
    </w:pPr>
    <w:r>
      <w:tab/>
    </w:r>
  </w:p>
  <w:tbl>
    <w:tblPr>
      <w:tblStyle w:val="Tablaconcuadrcula1"/>
      <w:tblW w:w="6520" w:type="dxa"/>
      <w:tblInd w:w="3424" w:type="dxa"/>
      <w:tblLook w:val="04A0" w:firstRow="1" w:lastRow="0" w:firstColumn="1" w:lastColumn="0" w:noHBand="0" w:noVBand="1"/>
    </w:tblPr>
    <w:tblGrid>
      <w:gridCol w:w="2965"/>
      <w:gridCol w:w="3555"/>
    </w:tblGrid>
    <w:tr w:rsidR="00E5332B" w:rsidRPr="005176BA" w:rsidTr="005176BA">
      <w:trPr>
        <w:trHeight w:val="416"/>
      </w:trPr>
      <w:tc>
        <w:tcPr>
          <w:tcW w:w="29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b/>
            </w:rPr>
            <w:t>Recurso de revisión:</w:t>
          </w:r>
        </w:p>
      </w:tc>
      <w:tc>
        <w:tcPr>
          <w:tcW w:w="3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cs="Arial"/>
              <w:b/>
              <w:bCs/>
              <w:lang w:eastAsia="es-MX"/>
            </w:rPr>
            <w:t>03423/INFOEM/IP/RR/2018 y         acumulados.</w:t>
          </w:r>
        </w:p>
      </w:tc>
    </w:tr>
    <w:tr w:rsidR="00E5332B" w:rsidRPr="005176BA" w:rsidTr="005176BA">
      <w:tc>
        <w:tcPr>
          <w:tcW w:w="29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b/>
            </w:rPr>
            <w:t>Recurrente:</w:t>
          </w:r>
        </w:p>
      </w:tc>
      <w:tc>
        <w:tcPr>
          <w:tcW w:w="3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9169C1" w:rsidP="005176BA">
          <w:pPr>
            <w:rPr>
              <w:rFonts w:ascii="Palatino Linotype" w:hAnsi="Palatino Linotype"/>
              <w:b/>
            </w:rPr>
          </w:pPr>
          <w:r w:rsidRPr="009169C1">
            <w:rPr>
              <w:rFonts w:ascii="Palatino Linotype" w:hAnsi="Palatino Linotype"/>
              <w:b/>
              <w:highlight w:val="black"/>
            </w:rPr>
            <w:t>-------------------------------------</w:t>
          </w:r>
          <w:r w:rsidR="00E5332B">
            <w:rPr>
              <w:rFonts w:ascii="Palatino Linotype" w:hAnsi="Palatino Linotype"/>
              <w:b/>
            </w:rPr>
            <w:t xml:space="preserve">. </w:t>
          </w:r>
        </w:p>
      </w:tc>
    </w:tr>
    <w:tr w:rsidR="00E5332B" w:rsidRPr="005176BA" w:rsidTr="005176BA">
      <w:tc>
        <w:tcPr>
          <w:tcW w:w="29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b/>
            </w:rPr>
            <w:t>Sujeto Obligado:</w:t>
          </w:r>
        </w:p>
      </w:tc>
      <w:tc>
        <w:tcPr>
          <w:tcW w:w="3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b/>
            </w:rPr>
            <w:t xml:space="preserve">Instituto de Seguridad Social del Estado de México y Municipios. </w:t>
          </w:r>
        </w:p>
      </w:tc>
    </w:tr>
    <w:tr w:rsidR="00E5332B" w:rsidRPr="005176BA" w:rsidTr="005176BA">
      <w:tc>
        <w:tcPr>
          <w:tcW w:w="29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b/>
            </w:rPr>
            <w:t xml:space="preserve">Comisionado ponente: </w:t>
          </w:r>
        </w:p>
      </w:tc>
      <w:tc>
        <w:tcPr>
          <w:tcW w:w="3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E5332B" w:rsidRPr="005176BA" w:rsidRDefault="00E5332B" w:rsidP="005176BA">
          <w:pPr>
            <w:rPr>
              <w:rFonts w:ascii="Palatino Linotype" w:hAnsi="Palatino Linotype"/>
              <w:b/>
            </w:rPr>
          </w:pPr>
          <w:r w:rsidRPr="005176BA">
            <w:rPr>
              <w:rFonts w:ascii="Palatino Linotype" w:hAnsi="Palatino Linotype"/>
              <w:b/>
            </w:rPr>
            <w:t xml:space="preserve">José Guadalupe Luna Hernández. </w:t>
          </w:r>
        </w:p>
      </w:tc>
    </w:tr>
  </w:tbl>
  <w:p w:rsidR="00E5332B" w:rsidRDefault="00E5332B"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64B866F6"/>
    <w:lvl w:ilvl="0" w:tplc="F2C65D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7">
    <w:nsid w:val="239E19F6"/>
    <w:multiLevelType w:val="hybridMultilevel"/>
    <w:tmpl w:val="5C98A38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EA64C4D"/>
    <w:multiLevelType w:val="hybridMultilevel"/>
    <w:tmpl w:val="AB08D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2E6A1F6C"/>
    <w:lvl w:ilvl="0" w:tplc="EC725EAE">
      <w:start w:val="1"/>
      <w:numFmt w:val="decimal"/>
      <w:lvlText w:val="%1."/>
      <w:lvlJc w:val="left"/>
      <w:pPr>
        <w:ind w:left="644" w:hanging="360"/>
      </w:pPr>
      <w:rPr>
        <w:rFonts w:ascii="Palatino Linotype" w:hAnsi="Palatino Linotype" w:hint="default"/>
        <w:b w:val="0"/>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22">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1"/>
  </w:num>
  <w:num w:numId="3">
    <w:abstractNumId w:val="17"/>
  </w:num>
  <w:num w:numId="4">
    <w:abstractNumId w:val="22"/>
  </w:num>
  <w:num w:numId="5">
    <w:abstractNumId w:val="8"/>
  </w:num>
  <w:num w:numId="6">
    <w:abstractNumId w:val="16"/>
  </w:num>
  <w:num w:numId="7">
    <w:abstractNumId w:val="12"/>
  </w:num>
  <w:num w:numId="8">
    <w:abstractNumId w:val="18"/>
  </w:num>
  <w:num w:numId="9">
    <w:abstractNumId w:val="15"/>
  </w:num>
  <w:num w:numId="10">
    <w:abstractNumId w:val="9"/>
  </w:num>
  <w:num w:numId="11">
    <w:abstractNumId w:val="0"/>
  </w:num>
  <w:num w:numId="12">
    <w:abstractNumId w:val="21"/>
  </w:num>
  <w:num w:numId="13">
    <w:abstractNumId w:val="23"/>
  </w:num>
  <w:num w:numId="14">
    <w:abstractNumId w:val="4"/>
  </w:num>
  <w:num w:numId="15">
    <w:abstractNumId w:val="14"/>
  </w:num>
  <w:num w:numId="16">
    <w:abstractNumId w:val="20"/>
  </w:num>
  <w:num w:numId="17">
    <w:abstractNumId w:val="5"/>
  </w:num>
  <w:num w:numId="18">
    <w:abstractNumId w:val="1"/>
  </w:num>
  <w:num w:numId="19">
    <w:abstractNumId w:val="2"/>
  </w:num>
  <w:num w:numId="20">
    <w:abstractNumId w:val="6"/>
  </w:num>
  <w:num w:numId="21">
    <w:abstractNumId w:val="13"/>
  </w:num>
  <w:num w:numId="22">
    <w:abstractNumId w:val="3"/>
  </w:num>
  <w:num w:numId="23">
    <w:abstractNumId w:val="24"/>
  </w:num>
  <w:num w:numId="24">
    <w:abstractNumId w:val="19"/>
  </w:num>
  <w:num w:numId="25">
    <w:abstractNumId w:val="1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08ED"/>
    <w:rsid w:val="00022852"/>
    <w:rsid w:val="00033641"/>
    <w:rsid w:val="0004167E"/>
    <w:rsid w:val="00042B43"/>
    <w:rsid w:val="00056204"/>
    <w:rsid w:val="00060857"/>
    <w:rsid w:val="0007062A"/>
    <w:rsid w:val="00072EFA"/>
    <w:rsid w:val="00077233"/>
    <w:rsid w:val="000845C6"/>
    <w:rsid w:val="0009442B"/>
    <w:rsid w:val="000966F8"/>
    <w:rsid w:val="000A7D5D"/>
    <w:rsid w:val="000B2EAF"/>
    <w:rsid w:val="000B5A4C"/>
    <w:rsid w:val="000C66EA"/>
    <w:rsid w:val="000C6868"/>
    <w:rsid w:val="000D1D31"/>
    <w:rsid w:val="000E4A12"/>
    <w:rsid w:val="000F1CC9"/>
    <w:rsid w:val="000F3365"/>
    <w:rsid w:val="000F4901"/>
    <w:rsid w:val="00100DEF"/>
    <w:rsid w:val="00101818"/>
    <w:rsid w:val="00104BC4"/>
    <w:rsid w:val="00106806"/>
    <w:rsid w:val="00107A21"/>
    <w:rsid w:val="00110A90"/>
    <w:rsid w:val="00114D5F"/>
    <w:rsid w:val="00124119"/>
    <w:rsid w:val="001339D7"/>
    <w:rsid w:val="00135AAB"/>
    <w:rsid w:val="00140674"/>
    <w:rsid w:val="00141821"/>
    <w:rsid w:val="00141BDA"/>
    <w:rsid w:val="00143016"/>
    <w:rsid w:val="00145E3E"/>
    <w:rsid w:val="00146414"/>
    <w:rsid w:val="00147141"/>
    <w:rsid w:val="00152A54"/>
    <w:rsid w:val="00152B52"/>
    <w:rsid w:val="00153924"/>
    <w:rsid w:val="00163316"/>
    <w:rsid w:val="001655F5"/>
    <w:rsid w:val="00167344"/>
    <w:rsid w:val="0017140F"/>
    <w:rsid w:val="00174971"/>
    <w:rsid w:val="00181E44"/>
    <w:rsid w:val="0019022A"/>
    <w:rsid w:val="00190B36"/>
    <w:rsid w:val="00195BEF"/>
    <w:rsid w:val="00196B6A"/>
    <w:rsid w:val="0019761F"/>
    <w:rsid w:val="001B12E8"/>
    <w:rsid w:val="001B28F9"/>
    <w:rsid w:val="001B3A28"/>
    <w:rsid w:val="001B625E"/>
    <w:rsid w:val="001C263E"/>
    <w:rsid w:val="001C487F"/>
    <w:rsid w:val="001C6D03"/>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32FEC"/>
    <w:rsid w:val="00233A15"/>
    <w:rsid w:val="00234EBF"/>
    <w:rsid w:val="0023760B"/>
    <w:rsid w:val="00240779"/>
    <w:rsid w:val="0024202C"/>
    <w:rsid w:val="00244765"/>
    <w:rsid w:val="0024486E"/>
    <w:rsid w:val="0026252B"/>
    <w:rsid w:val="002640DE"/>
    <w:rsid w:val="0026441B"/>
    <w:rsid w:val="002704F5"/>
    <w:rsid w:val="00273142"/>
    <w:rsid w:val="00273AAB"/>
    <w:rsid w:val="00274C4E"/>
    <w:rsid w:val="00275FB3"/>
    <w:rsid w:val="0027789C"/>
    <w:rsid w:val="002811EE"/>
    <w:rsid w:val="00291EC4"/>
    <w:rsid w:val="002921DD"/>
    <w:rsid w:val="002A16FE"/>
    <w:rsid w:val="002A38B7"/>
    <w:rsid w:val="002A6380"/>
    <w:rsid w:val="002B18B0"/>
    <w:rsid w:val="002B44C4"/>
    <w:rsid w:val="002B64FF"/>
    <w:rsid w:val="002B6FAB"/>
    <w:rsid w:val="002B7F54"/>
    <w:rsid w:val="002C6556"/>
    <w:rsid w:val="002C6BBC"/>
    <w:rsid w:val="002D16F1"/>
    <w:rsid w:val="002E49E5"/>
    <w:rsid w:val="002E7B04"/>
    <w:rsid w:val="002F3433"/>
    <w:rsid w:val="002F3BFA"/>
    <w:rsid w:val="002F4300"/>
    <w:rsid w:val="003003FF"/>
    <w:rsid w:val="00303A99"/>
    <w:rsid w:val="003040B9"/>
    <w:rsid w:val="003044DA"/>
    <w:rsid w:val="00314F26"/>
    <w:rsid w:val="00315476"/>
    <w:rsid w:val="00315BF5"/>
    <w:rsid w:val="0032356A"/>
    <w:rsid w:val="00323F76"/>
    <w:rsid w:val="0032530A"/>
    <w:rsid w:val="00327F6E"/>
    <w:rsid w:val="003354FC"/>
    <w:rsid w:val="00336C1B"/>
    <w:rsid w:val="00354158"/>
    <w:rsid w:val="00354999"/>
    <w:rsid w:val="00366B82"/>
    <w:rsid w:val="0037219D"/>
    <w:rsid w:val="0037277E"/>
    <w:rsid w:val="00374179"/>
    <w:rsid w:val="00375752"/>
    <w:rsid w:val="00382836"/>
    <w:rsid w:val="00382BC1"/>
    <w:rsid w:val="00387F22"/>
    <w:rsid w:val="00390F92"/>
    <w:rsid w:val="003A629F"/>
    <w:rsid w:val="003A6D6B"/>
    <w:rsid w:val="003B2671"/>
    <w:rsid w:val="003B4437"/>
    <w:rsid w:val="003B571D"/>
    <w:rsid w:val="003B5F5E"/>
    <w:rsid w:val="003B69DE"/>
    <w:rsid w:val="003C27E0"/>
    <w:rsid w:val="003D4338"/>
    <w:rsid w:val="003D63CC"/>
    <w:rsid w:val="003E34B5"/>
    <w:rsid w:val="003E585E"/>
    <w:rsid w:val="003E6B82"/>
    <w:rsid w:val="003F2187"/>
    <w:rsid w:val="003F4348"/>
    <w:rsid w:val="003F57ED"/>
    <w:rsid w:val="00404C2B"/>
    <w:rsid w:val="004068F4"/>
    <w:rsid w:val="00415B60"/>
    <w:rsid w:val="0042167E"/>
    <w:rsid w:val="0043504A"/>
    <w:rsid w:val="00452DD1"/>
    <w:rsid w:val="00456131"/>
    <w:rsid w:val="004653A7"/>
    <w:rsid w:val="00474E0F"/>
    <w:rsid w:val="004835DC"/>
    <w:rsid w:val="00485E23"/>
    <w:rsid w:val="00493730"/>
    <w:rsid w:val="004937AB"/>
    <w:rsid w:val="00495F9A"/>
    <w:rsid w:val="004A04FC"/>
    <w:rsid w:val="004A1681"/>
    <w:rsid w:val="004A3422"/>
    <w:rsid w:val="004A56E3"/>
    <w:rsid w:val="004A70B0"/>
    <w:rsid w:val="004B0C02"/>
    <w:rsid w:val="004C1002"/>
    <w:rsid w:val="004C20EF"/>
    <w:rsid w:val="004C69FF"/>
    <w:rsid w:val="004D3B01"/>
    <w:rsid w:val="004D4D48"/>
    <w:rsid w:val="004D7D6D"/>
    <w:rsid w:val="004E591E"/>
    <w:rsid w:val="004F4C05"/>
    <w:rsid w:val="004F6F41"/>
    <w:rsid w:val="00500259"/>
    <w:rsid w:val="0050327B"/>
    <w:rsid w:val="00510198"/>
    <w:rsid w:val="0051337C"/>
    <w:rsid w:val="005176BA"/>
    <w:rsid w:val="00523819"/>
    <w:rsid w:val="00525360"/>
    <w:rsid w:val="00534CBE"/>
    <w:rsid w:val="00544BAE"/>
    <w:rsid w:val="00560EB0"/>
    <w:rsid w:val="00565A3D"/>
    <w:rsid w:val="005702BE"/>
    <w:rsid w:val="005706DC"/>
    <w:rsid w:val="00570A3F"/>
    <w:rsid w:val="00581B3D"/>
    <w:rsid w:val="00581DCC"/>
    <w:rsid w:val="00582905"/>
    <w:rsid w:val="00586A12"/>
    <w:rsid w:val="0059199C"/>
    <w:rsid w:val="005969D9"/>
    <w:rsid w:val="005974E5"/>
    <w:rsid w:val="005A2B5F"/>
    <w:rsid w:val="005A6596"/>
    <w:rsid w:val="005B31A8"/>
    <w:rsid w:val="005C2D31"/>
    <w:rsid w:val="005C4663"/>
    <w:rsid w:val="005C4F60"/>
    <w:rsid w:val="005D1CFC"/>
    <w:rsid w:val="005D3C6B"/>
    <w:rsid w:val="005D5465"/>
    <w:rsid w:val="005E01F7"/>
    <w:rsid w:val="005E355A"/>
    <w:rsid w:val="005E38DE"/>
    <w:rsid w:val="005E406F"/>
    <w:rsid w:val="005E6787"/>
    <w:rsid w:val="005E7BEE"/>
    <w:rsid w:val="005F3A27"/>
    <w:rsid w:val="005F5930"/>
    <w:rsid w:val="00600629"/>
    <w:rsid w:val="0060200F"/>
    <w:rsid w:val="0061037B"/>
    <w:rsid w:val="00612344"/>
    <w:rsid w:val="006129A4"/>
    <w:rsid w:val="006158AA"/>
    <w:rsid w:val="00616052"/>
    <w:rsid w:val="006303CF"/>
    <w:rsid w:val="006307B0"/>
    <w:rsid w:val="00630814"/>
    <w:rsid w:val="00632BCB"/>
    <w:rsid w:val="00642A12"/>
    <w:rsid w:val="006448B0"/>
    <w:rsid w:val="00647DA3"/>
    <w:rsid w:val="00647E4C"/>
    <w:rsid w:val="00655976"/>
    <w:rsid w:val="0065655F"/>
    <w:rsid w:val="00660330"/>
    <w:rsid w:val="006603C7"/>
    <w:rsid w:val="00661A81"/>
    <w:rsid w:val="00663FF0"/>
    <w:rsid w:val="00664B64"/>
    <w:rsid w:val="006718DE"/>
    <w:rsid w:val="00672EA1"/>
    <w:rsid w:val="006750F2"/>
    <w:rsid w:val="00684C83"/>
    <w:rsid w:val="006869D2"/>
    <w:rsid w:val="00693390"/>
    <w:rsid w:val="00694CC8"/>
    <w:rsid w:val="006956C4"/>
    <w:rsid w:val="006A1DD3"/>
    <w:rsid w:val="006A1F3D"/>
    <w:rsid w:val="006B56C3"/>
    <w:rsid w:val="006C4663"/>
    <w:rsid w:val="006D146D"/>
    <w:rsid w:val="006E77A3"/>
    <w:rsid w:val="006F025F"/>
    <w:rsid w:val="006F4AFE"/>
    <w:rsid w:val="00703547"/>
    <w:rsid w:val="00704A38"/>
    <w:rsid w:val="00704FC1"/>
    <w:rsid w:val="0070716A"/>
    <w:rsid w:val="00714C71"/>
    <w:rsid w:val="00720B31"/>
    <w:rsid w:val="0072210C"/>
    <w:rsid w:val="007230A3"/>
    <w:rsid w:val="00723A8D"/>
    <w:rsid w:val="007303F8"/>
    <w:rsid w:val="00732D0D"/>
    <w:rsid w:val="00735D06"/>
    <w:rsid w:val="00742576"/>
    <w:rsid w:val="00742BE5"/>
    <w:rsid w:val="00744AB7"/>
    <w:rsid w:val="007466C9"/>
    <w:rsid w:val="00754D45"/>
    <w:rsid w:val="00756441"/>
    <w:rsid w:val="007623BE"/>
    <w:rsid w:val="00762E1E"/>
    <w:rsid w:val="007737F5"/>
    <w:rsid w:val="00774451"/>
    <w:rsid w:val="0077560D"/>
    <w:rsid w:val="00783D75"/>
    <w:rsid w:val="007841CA"/>
    <w:rsid w:val="00792776"/>
    <w:rsid w:val="00793656"/>
    <w:rsid w:val="007B222D"/>
    <w:rsid w:val="007B5031"/>
    <w:rsid w:val="007B5FFC"/>
    <w:rsid w:val="007D3AB1"/>
    <w:rsid w:val="007D5D25"/>
    <w:rsid w:val="007D79E7"/>
    <w:rsid w:val="007E0079"/>
    <w:rsid w:val="007E362F"/>
    <w:rsid w:val="007E4E22"/>
    <w:rsid w:val="007F0AC5"/>
    <w:rsid w:val="007F387A"/>
    <w:rsid w:val="007F70A4"/>
    <w:rsid w:val="008138CE"/>
    <w:rsid w:val="00815846"/>
    <w:rsid w:val="008161A8"/>
    <w:rsid w:val="00820149"/>
    <w:rsid w:val="0082256E"/>
    <w:rsid w:val="0082320A"/>
    <w:rsid w:val="00833E7D"/>
    <w:rsid w:val="008346C9"/>
    <w:rsid w:val="008425DB"/>
    <w:rsid w:val="00845705"/>
    <w:rsid w:val="00845D19"/>
    <w:rsid w:val="00847FFC"/>
    <w:rsid w:val="00852EC1"/>
    <w:rsid w:val="0086565D"/>
    <w:rsid w:val="00870BA2"/>
    <w:rsid w:val="00871F55"/>
    <w:rsid w:val="00873107"/>
    <w:rsid w:val="0087682B"/>
    <w:rsid w:val="00877158"/>
    <w:rsid w:val="00883B38"/>
    <w:rsid w:val="008870CA"/>
    <w:rsid w:val="00887109"/>
    <w:rsid w:val="00887614"/>
    <w:rsid w:val="00890E4A"/>
    <w:rsid w:val="00892202"/>
    <w:rsid w:val="00892355"/>
    <w:rsid w:val="008B4C47"/>
    <w:rsid w:val="008B7033"/>
    <w:rsid w:val="008C1879"/>
    <w:rsid w:val="008C18E6"/>
    <w:rsid w:val="008C2739"/>
    <w:rsid w:val="008C7FA2"/>
    <w:rsid w:val="008D3FD7"/>
    <w:rsid w:val="008D45C3"/>
    <w:rsid w:val="008E05D2"/>
    <w:rsid w:val="008E3BAC"/>
    <w:rsid w:val="008E49E0"/>
    <w:rsid w:val="008F0EEC"/>
    <w:rsid w:val="008F520D"/>
    <w:rsid w:val="009002CA"/>
    <w:rsid w:val="0090534F"/>
    <w:rsid w:val="0090539F"/>
    <w:rsid w:val="00913F26"/>
    <w:rsid w:val="009169C1"/>
    <w:rsid w:val="00921E87"/>
    <w:rsid w:val="00924969"/>
    <w:rsid w:val="009338C5"/>
    <w:rsid w:val="0094139E"/>
    <w:rsid w:val="00943A89"/>
    <w:rsid w:val="00960D99"/>
    <w:rsid w:val="00966090"/>
    <w:rsid w:val="00966F60"/>
    <w:rsid w:val="00967019"/>
    <w:rsid w:val="00971AFE"/>
    <w:rsid w:val="0097282D"/>
    <w:rsid w:val="00982BCA"/>
    <w:rsid w:val="00984BF9"/>
    <w:rsid w:val="00987E5C"/>
    <w:rsid w:val="009910A2"/>
    <w:rsid w:val="0099139A"/>
    <w:rsid w:val="00991C4B"/>
    <w:rsid w:val="0099284A"/>
    <w:rsid w:val="0099464D"/>
    <w:rsid w:val="00994BB5"/>
    <w:rsid w:val="00994D80"/>
    <w:rsid w:val="009A4582"/>
    <w:rsid w:val="009B7F08"/>
    <w:rsid w:val="009C789B"/>
    <w:rsid w:val="009D31A7"/>
    <w:rsid w:val="009D4641"/>
    <w:rsid w:val="009D6E07"/>
    <w:rsid w:val="009E113B"/>
    <w:rsid w:val="009E689B"/>
    <w:rsid w:val="009E6F3D"/>
    <w:rsid w:val="009F4560"/>
    <w:rsid w:val="00A0112A"/>
    <w:rsid w:val="00A06AAF"/>
    <w:rsid w:val="00A070E0"/>
    <w:rsid w:val="00A073E0"/>
    <w:rsid w:val="00A25A75"/>
    <w:rsid w:val="00A311F0"/>
    <w:rsid w:val="00A36A8E"/>
    <w:rsid w:val="00A456C6"/>
    <w:rsid w:val="00A474D9"/>
    <w:rsid w:val="00A5163B"/>
    <w:rsid w:val="00A56228"/>
    <w:rsid w:val="00A57711"/>
    <w:rsid w:val="00A612C0"/>
    <w:rsid w:val="00A62DAF"/>
    <w:rsid w:val="00A744BF"/>
    <w:rsid w:val="00A76D4A"/>
    <w:rsid w:val="00A81EC8"/>
    <w:rsid w:val="00A82851"/>
    <w:rsid w:val="00A82E6A"/>
    <w:rsid w:val="00A86F8F"/>
    <w:rsid w:val="00A9141A"/>
    <w:rsid w:val="00A93B4B"/>
    <w:rsid w:val="00A93DA7"/>
    <w:rsid w:val="00AA0394"/>
    <w:rsid w:val="00AA1FA6"/>
    <w:rsid w:val="00AB4EDD"/>
    <w:rsid w:val="00AB56C1"/>
    <w:rsid w:val="00AC48DC"/>
    <w:rsid w:val="00AD19AF"/>
    <w:rsid w:val="00AE0D08"/>
    <w:rsid w:val="00AE7F06"/>
    <w:rsid w:val="00AF0B5C"/>
    <w:rsid w:val="00AF2E2E"/>
    <w:rsid w:val="00AF3EF9"/>
    <w:rsid w:val="00AF7E01"/>
    <w:rsid w:val="00B07266"/>
    <w:rsid w:val="00B07AE6"/>
    <w:rsid w:val="00B07E95"/>
    <w:rsid w:val="00B17F1D"/>
    <w:rsid w:val="00B310C4"/>
    <w:rsid w:val="00B31373"/>
    <w:rsid w:val="00B334C9"/>
    <w:rsid w:val="00B43D3A"/>
    <w:rsid w:val="00B54680"/>
    <w:rsid w:val="00B7488E"/>
    <w:rsid w:val="00B7792E"/>
    <w:rsid w:val="00B85136"/>
    <w:rsid w:val="00B94310"/>
    <w:rsid w:val="00B95257"/>
    <w:rsid w:val="00B9573B"/>
    <w:rsid w:val="00BA3D39"/>
    <w:rsid w:val="00BB0639"/>
    <w:rsid w:val="00BB1412"/>
    <w:rsid w:val="00BB3FA7"/>
    <w:rsid w:val="00BB45D8"/>
    <w:rsid w:val="00BC2536"/>
    <w:rsid w:val="00BC5810"/>
    <w:rsid w:val="00BD6780"/>
    <w:rsid w:val="00BE69E6"/>
    <w:rsid w:val="00BF15FE"/>
    <w:rsid w:val="00C03E3D"/>
    <w:rsid w:val="00C07697"/>
    <w:rsid w:val="00C13B8D"/>
    <w:rsid w:val="00C16223"/>
    <w:rsid w:val="00C179EE"/>
    <w:rsid w:val="00C26A49"/>
    <w:rsid w:val="00C31D07"/>
    <w:rsid w:val="00C347E4"/>
    <w:rsid w:val="00C43FB8"/>
    <w:rsid w:val="00C541AA"/>
    <w:rsid w:val="00C62521"/>
    <w:rsid w:val="00C62761"/>
    <w:rsid w:val="00C64E0E"/>
    <w:rsid w:val="00C64EC5"/>
    <w:rsid w:val="00C7171B"/>
    <w:rsid w:val="00C71D8F"/>
    <w:rsid w:val="00C71ED4"/>
    <w:rsid w:val="00C762CC"/>
    <w:rsid w:val="00C7709D"/>
    <w:rsid w:val="00C80865"/>
    <w:rsid w:val="00C8182C"/>
    <w:rsid w:val="00C840A2"/>
    <w:rsid w:val="00C874D5"/>
    <w:rsid w:val="00C902EB"/>
    <w:rsid w:val="00C9537D"/>
    <w:rsid w:val="00C9708F"/>
    <w:rsid w:val="00CA0EE7"/>
    <w:rsid w:val="00CA10C1"/>
    <w:rsid w:val="00CA1996"/>
    <w:rsid w:val="00CA3C25"/>
    <w:rsid w:val="00CA4E53"/>
    <w:rsid w:val="00CA55D0"/>
    <w:rsid w:val="00CA7B56"/>
    <w:rsid w:val="00CB16AF"/>
    <w:rsid w:val="00CC404F"/>
    <w:rsid w:val="00CC798E"/>
    <w:rsid w:val="00CC7E82"/>
    <w:rsid w:val="00CD4716"/>
    <w:rsid w:val="00CD49B9"/>
    <w:rsid w:val="00CE4F6D"/>
    <w:rsid w:val="00CE571D"/>
    <w:rsid w:val="00CE773C"/>
    <w:rsid w:val="00CF1AD4"/>
    <w:rsid w:val="00D01849"/>
    <w:rsid w:val="00D020D3"/>
    <w:rsid w:val="00D04EF6"/>
    <w:rsid w:val="00D1046B"/>
    <w:rsid w:val="00D140CA"/>
    <w:rsid w:val="00D175DF"/>
    <w:rsid w:val="00D21751"/>
    <w:rsid w:val="00D317A8"/>
    <w:rsid w:val="00D32F07"/>
    <w:rsid w:val="00D402B7"/>
    <w:rsid w:val="00D42A15"/>
    <w:rsid w:val="00D54A5D"/>
    <w:rsid w:val="00D56654"/>
    <w:rsid w:val="00D60350"/>
    <w:rsid w:val="00D60C42"/>
    <w:rsid w:val="00D60F78"/>
    <w:rsid w:val="00D62954"/>
    <w:rsid w:val="00D6300C"/>
    <w:rsid w:val="00D64DD8"/>
    <w:rsid w:val="00D654B6"/>
    <w:rsid w:val="00D71586"/>
    <w:rsid w:val="00D80A25"/>
    <w:rsid w:val="00D813AF"/>
    <w:rsid w:val="00D83C6F"/>
    <w:rsid w:val="00D90182"/>
    <w:rsid w:val="00D95A22"/>
    <w:rsid w:val="00D96DE0"/>
    <w:rsid w:val="00DA6915"/>
    <w:rsid w:val="00DA7079"/>
    <w:rsid w:val="00DC0CF8"/>
    <w:rsid w:val="00DD03AE"/>
    <w:rsid w:val="00DD0573"/>
    <w:rsid w:val="00DD4F0B"/>
    <w:rsid w:val="00DD5AC5"/>
    <w:rsid w:val="00DD66F7"/>
    <w:rsid w:val="00DE2C23"/>
    <w:rsid w:val="00DE6AF4"/>
    <w:rsid w:val="00DF0B5F"/>
    <w:rsid w:val="00DF3188"/>
    <w:rsid w:val="00DF5C80"/>
    <w:rsid w:val="00DF621D"/>
    <w:rsid w:val="00E0005D"/>
    <w:rsid w:val="00E00869"/>
    <w:rsid w:val="00E05C8A"/>
    <w:rsid w:val="00E10778"/>
    <w:rsid w:val="00E15246"/>
    <w:rsid w:val="00E165B2"/>
    <w:rsid w:val="00E204F9"/>
    <w:rsid w:val="00E27B7B"/>
    <w:rsid w:val="00E300EC"/>
    <w:rsid w:val="00E31ACB"/>
    <w:rsid w:val="00E32BB3"/>
    <w:rsid w:val="00E36A14"/>
    <w:rsid w:val="00E4452E"/>
    <w:rsid w:val="00E4470A"/>
    <w:rsid w:val="00E50F9E"/>
    <w:rsid w:val="00E531F1"/>
    <w:rsid w:val="00E5332B"/>
    <w:rsid w:val="00E56826"/>
    <w:rsid w:val="00E659ED"/>
    <w:rsid w:val="00E66EC1"/>
    <w:rsid w:val="00E76AC7"/>
    <w:rsid w:val="00E834F6"/>
    <w:rsid w:val="00E93981"/>
    <w:rsid w:val="00EA20FA"/>
    <w:rsid w:val="00EA28A3"/>
    <w:rsid w:val="00EA33FA"/>
    <w:rsid w:val="00EA49F5"/>
    <w:rsid w:val="00EB0758"/>
    <w:rsid w:val="00EB251D"/>
    <w:rsid w:val="00EB33AA"/>
    <w:rsid w:val="00EB3DB0"/>
    <w:rsid w:val="00EB6771"/>
    <w:rsid w:val="00ED1828"/>
    <w:rsid w:val="00EE025F"/>
    <w:rsid w:val="00EE50CD"/>
    <w:rsid w:val="00EE643B"/>
    <w:rsid w:val="00F013D8"/>
    <w:rsid w:val="00F0552B"/>
    <w:rsid w:val="00F05E61"/>
    <w:rsid w:val="00F11B2C"/>
    <w:rsid w:val="00F11FAB"/>
    <w:rsid w:val="00F25BB4"/>
    <w:rsid w:val="00F264E0"/>
    <w:rsid w:val="00F30EDB"/>
    <w:rsid w:val="00F315AB"/>
    <w:rsid w:val="00F350E6"/>
    <w:rsid w:val="00F364C5"/>
    <w:rsid w:val="00F44D54"/>
    <w:rsid w:val="00F4794D"/>
    <w:rsid w:val="00F47FB4"/>
    <w:rsid w:val="00F54FB7"/>
    <w:rsid w:val="00F55249"/>
    <w:rsid w:val="00F573BB"/>
    <w:rsid w:val="00F57829"/>
    <w:rsid w:val="00F67150"/>
    <w:rsid w:val="00F73B52"/>
    <w:rsid w:val="00F762AC"/>
    <w:rsid w:val="00F801A8"/>
    <w:rsid w:val="00F81482"/>
    <w:rsid w:val="00F81740"/>
    <w:rsid w:val="00F86624"/>
    <w:rsid w:val="00FA0CD3"/>
    <w:rsid w:val="00FA151B"/>
    <w:rsid w:val="00FA5D80"/>
    <w:rsid w:val="00FB14E1"/>
    <w:rsid w:val="00FB2D48"/>
    <w:rsid w:val="00FB3974"/>
    <w:rsid w:val="00FB3DED"/>
    <w:rsid w:val="00FB5BB0"/>
    <w:rsid w:val="00FC0A55"/>
    <w:rsid w:val="00FC2E96"/>
    <w:rsid w:val="00FD2223"/>
    <w:rsid w:val="00FD701E"/>
    <w:rsid w:val="00FE7731"/>
    <w:rsid w:val="00FF147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94334788">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A9D8-0837-4BB0-BA6D-966E23FF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62</Pages>
  <Words>13419</Words>
  <Characters>73806</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2018-10-26T01:30:00Z</cp:lastPrinted>
  <dcterms:created xsi:type="dcterms:W3CDTF">2018-11-08T23:08:00Z</dcterms:created>
  <dcterms:modified xsi:type="dcterms:W3CDTF">2019-01-09T02:03:00Z</dcterms:modified>
</cp:coreProperties>
</file>